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FA9BB" w14:textId="77777777" w:rsidR="007B2AAC" w:rsidRDefault="007B2AAC" w:rsidP="003E747B">
      <w:pPr>
        <w:jc w:val="center"/>
        <w:rPr>
          <w:b/>
        </w:rPr>
      </w:pPr>
    </w:p>
    <w:p w14:paraId="3FDF5375" w14:textId="77777777" w:rsidR="003E747B" w:rsidRDefault="003E747B" w:rsidP="003E747B">
      <w:pPr>
        <w:jc w:val="center"/>
        <w:rPr>
          <w:b/>
          <w:sz w:val="36"/>
          <w:szCs w:val="36"/>
        </w:rPr>
      </w:pPr>
    </w:p>
    <w:p w14:paraId="75919840" w14:textId="77777777" w:rsidR="003E747B" w:rsidRDefault="003E747B" w:rsidP="003E747B">
      <w:pPr>
        <w:jc w:val="center"/>
        <w:rPr>
          <w:b/>
          <w:sz w:val="36"/>
          <w:szCs w:val="36"/>
        </w:rPr>
      </w:pPr>
    </w:p>
    <w:p w14:paraId="6D8ACCE7" w14:textId="77777777" w:rsidR="003E747B" w:rsidRDefault="003E747B" w:rsidP="003E747B">
      <w:pPr>
        <w:jc w:val="center"/>
        <w:rPr>
          <w:b/>
          <w:sz w:val="36"/>
          <w:szCs w:val="36"/>
        </w:rPr>
      </w:pPr>
    </w:p>
    <w:p w14:paraId="00E3AB4A" w14:textId="77777777" w:rsidR="003E747B" w:rsidRDefault="003E747B" w:rsidP="003E747B">
      <w:pPr>
        <w:jc w:val="center"/>
        <w:rPr>
          <w:b/>
          <w:sz w:val="36"/>
          <w:szCs w:val="36"/>
        </w:rPr>
      </w:pPr>
    </w:p>
    <w:p w14:paraId="392EE29E" w14:textId="77777777" w:rsidR="003E747B" w:rsidRDefault="003E747B" w:rsidP="003E747B">
      <w:pPr>
        <w:jc w:val="center"/>
        <w:rPr>
          <w:b/>
          <w:sz w:val="36"/>
          <w:szCs w:val="36"/>
        </w:rPr>
      </w:pPr>
    </w:p>
    <w:p w14:paraId="56B88BBC" w14:textId="77777777" w:rsidR="003E747B" w:rsidRDefault="003E747B" w:rsidP="003E747B">
      <w:pPr>
        <w:jc w:val="center"/>
        <w:rPr>
          <w:b/>
          <w:sz w:val="36"/>
          <w:szCs w:val="36"/>
        </w:rPr>
      </w:pPr>
    </w:p>
    <w:p w14:paraId="00D5836B" w14:textId="77777777" w:rsidR="003E747B" w:rsidRDefault="003E747B" w:rsidP="003E747B">
      <w:pPr>
        <w:jc w:val="center"/>
        <w:rPr>
          <w:b/>
          <w:sz w:val="36"/>
          <w:szCs w:val="36"/>
        </w:rPr>
      </w:pPr>
    </w:p>
    <w:p w14:paraId="1A1F445D" w14:textId="77777777" w:rsidR="003E747B" w:rsidRDefault="003E747B" w:rsidP="003E747B">
      <w:pPr>
        <w:jc w:val="center"/>
        <w:rPr>
          <w:b/>
          <w:sz w:val="36"/>
          <w:szCs w:val="36"/>
        </w:rPr>
      </w:pPr>
    </w:p>
    <w:p w14:paraId="3C8E68DF" w14:textId="77777777" w:rsidR="007B2AAC" w:rsidRPr="00CE6C58" w:rsidRDefault="007B2AAC" w:rsidP="003E747B">
      <w:pPr>
        <w:jc w:val="center"/>
        <w:rPr>
          <w:rFonts w:ascii="Arial" w:hAnsi="Arial" w:cs="Arial"/>
          <w:b/>
        </w:rPr>
      </w:pPr>
      <w:r w:rsidRPr="00CE6C58">
        <w:rPr>
          <w:rFonts w:ascii="Arial" w:hAnsi="Arial" w:cs="Arial"/>
          <w:b/>
        </w:rPr>
        <w:t>FALKIRK COUNCIL LOCAL DEVLOPMENT PLAN 2 (LDP2)</w:t>
      </w:r>
    </w:p>
    <w:p w14:paraId="3E5A041F" w14:textId="77777777" w:rsidR="007B2AAC" w:rsidRPr="00CE6C58" w:rsidRDefault="007B2AAC" w:rsidP="003E747B">
      <w:pPr>
        <w:jc w:val="center"/>
        <w:rPr>
          <w:rFonts w:ascii="Arial" w:hAnsi="Arial" w:cs="Arial"/>
          <w:b/>
        </w:rPr>
      </w:pPr>
    </w:p>
    <w:p w14:paraId="1E5CF7F9" w14:textId="77777777" w:rsidR="0034004A" w:rsidRDefault="007B2AAC" w:rsidP="003E747B">
      <w:pPr>
        <w:jc w:val="center"/>
        <w:rPr>
          <w:rFonts w:ascii="Arial" w:hAnsi="Arial" w:cs="Arial"/>
          <w:b/>
        </w:rPr>
      </w:pPr>
      <w:r w:rsidRPr="00CE6C58">
        <w:rPr>
          <w:rFonts w:ascii="Arial" w:hAnsi="Arial" w:cs="Arial"/>
          <w:b/>
        </w:rPr>
        <w:t xml:space="preserve">STATEMENT OF PUBLICITY AND CONSULTATION </w:t>
      </w:r>
    </w:p>
    <w:p w14:paraId="6FA1D5B5" w14:textId="77777777" w:rsidR="001E61EB" w:rsidRDefault="001E61EB" w:rsidP="003E747B">
      <w:pPr>
        <w:jc w:val="center"/>
        <w:rPr>
          <w:rFonts w:ascii="Arial" w:hAnsi="Arial" w:cs="Arial"/>
          <w:b/>
        </w:rPr>
      </w:pPr>
    </w:p>
    <w:p w14:paraId="2E90812F" w14:textId="77777777" w:rsidR="007B2AAC" w:rsidRDefault="001E61EB" w:rsidP="003E747B">
      <w:pPr>
        <w:jc w:val="center"/>
        <w:rPr>
          <w:rFonts w:ascii="Arial" w:hAnsi="Arial" w:cs="Arial"/>
          <w:b/>
        </w:rPr>
      </w:pPr>
      <w:r>
        <w:rPr>
          <w:rFonts w:ascii="Arial" w:hAnsi="Arial" w:cs="Arial"/>
          <w:b/>
        </w:rPr>
        <w:t>SG0</w:t>
      </w:r>
      <w:r w:rsidR="00C15E4A">
        <w:rPr>
          <w:rFonts w:ascii="Arial" w:hAnsi="Arial" w:cs="Arial"/>
          <w:b/>
        </w:rPr>
        <w:t>1</w:t>
      </w:r>
      <w:r w:rsidR="00E32DE0">
        <w:rPr>
          <w:rFonts w:ascii="Arial" w:hAnsi="Arial" w:cs="Arial"/>
          <w:b/>
        </w:rPr>
        <w:t xml:space="preserve"> SG06</w:t>
      </w:r>
      <w:r w:rsidR="00ED5AC2">
        <w:rPr>
          <w:rFonts w:ascii="Arial" w:hAnsi="Arial" w:cs="Arial"/>
          <w:b/>
        </w:rPr>
        <w:t xml:space="preserve"> </w:t>
      </w:r>
      <w:r w:rsidR="00C15E4A">
        <w:rPr>
          <w:rFonts w:ascii="Arial" w:hAnsi="Arial" w:cs="Arial"/>
          <w:b/>
        </w:rPr>
        <w:t xml:space="preserve">SG07 </w:t>
      </w:r>
      <w:r w:rsidR="00E32DE0">
        <w:rPr>
          <w:rFonts w:ascii="Arial" w:hAnsi="Arial" w:cs="Arial"/>
          <w:b/>
        </w:rPr>
        <w:t>and SG13</w:t>
      </w:r>
    </w:p>
    <w:p w14:paraId="78B8A86F" w14:textId="77777777" w:rsidR="00EF215F" w:rsidRDefault="00EF215F" w:rsidP="003E747B">
      <w:pPr>
        <w:jc w:val="center"/>
        <w:rPr>
          <w:rFonts w:ascii="Arial" w:hAnsi="Arial" w:cs="Arial"/>
          <w:b/>
        </w:rPr>
      </w:pPr>
    </w:p>
    <w:p w14:paraId="5F22ABA6" w14:textId="77777777" w:rsidR="00EF215F" w:rsidRDefault="00EF215F" w:rsidP="003E747B">
      <w:pPr>
        <w:jc w:val="center"/>
        <w:rPr>
          <w:rFonts w:ascii="Arial" w:hAnsi="Arial" w:cs="Arial"/>
          <w:b/>
        </w:rPr>
      </w:pPr>
    </w:p>
    <w:p w14:paraId="501FECED" w14:textId="77777777" w:rsidR="00EF215F" w:rsidRDefault="00EF215F" w:rsidP="003E747B">
      <w:pPr>
        <w:jc w:val="center"/>
        <w:rPr>
          <w:rFonts w:ascii="Arial" w:hAnsi="Arial" w:cs="Arial"/>
          <w:b/>
        </w:rPr>
      </w:pPr>
    </w:p>
    <w:p w14:paraId="73D10FF8" w14:textId="77777777" w:rsidR="00EF215F" w:rsidRPr="00CE6C58" w:rsidRDefault="00E32DE0" w:rsidP="003E747B">
      <w:pPr>
        <w:jc w:val="center"/>
        <w:rPr>
          <w:rFonts w:ascii="Arial" w:hAnsi="Arial" w:cs="Arial"/>
          <w:b/>
        </w:rPr>
      </w:pPr>
      <w:r>
        <w:rPr>
          <w:rFonts w:ascii="Arial" w:hAnsi="Arial" w:cs="Arial"/>
          <w:b/>
        </w:rPr>
        <w:t xml:space="preserve">MARCH </w:t>
      </w:r>
      <w:r w:rsidR="00EF215F">
        <w:rPr>
          <w:rFonts w:ascii="Arial" w:hAnsi="Arial" w:cs="Arial"/>
          <w:b/>
        </w:rPr>
        <w:t>202</w:t>
      </w:r>
      <w:r w:rsidR="001E61EB">
        <w:rPr>
          <w:rFonts w:ascii="Arial" w:hAnsi="Arial" w:cs="Arial"/>
          <w:b/>
        </w:rPr>
        <w:t>1</w:t>
      </w:r>
    </w:p>
    <w:p w14:paraId="365E8F10" w14:textId="77777777" w:rsidR="007D2DB4" w:rsidRPr="00CE6C58" w:rsidRDefault="007B2AAC" w:rsidP="007A4E44">
      <w:pPr>
        <w:jc w:val="center"/>
        <w:rPr>
          <w:rFonts w:ascii="Arial" w:hAnsi="Arial" w:cs="Arial"/>
          <w:b/>
          <w:sz w:val="22"/>
          <w:szCs w:val="22"/>
        </w:rPr>
      </w:pPr>
      <w:r w:rsidRPr="00CE6C58">
        <w:rPr>
          <w:rFonts w:ascii="Arial" w:hAnsi="Arial" w:cs="Arial"/>
          <w:b/>
          <w:sz w:val="22"/>
          <w:szCs w:val="22"/>
        </w:rPr>
        <w:br w:type="page"/>
      </w:r>
      <w:r w:rsidR="007D2DB4" w:rsidRPr="00CE6C58">
        <w:rPr>
          <w:rFonts w:ascii="Arial" w:hAnsi="Arial" w:cs="Arial"/>
          <w:b/>
          <w:sz w:val="22"/>
          <w:szCs w:val="22"/>
        </w:rPr>
        <w:lastRenderedPageBreak/>
        <w:t>FALKIRK COUNCIL LOCAL DEVLOPMENT PLAN</w:t>
      </w:r>
      <w:r w:rsidR="00830F7D" w:rsidRPr="00CE6C58">
        <w:rPr>
          <w:rFonts w:ascii="Arial" w:hAnsi="Arial" w:cs="Arial"/>
          <w:b/>
          <w:sz w:val="22"/>
          <w:szCs w:val="22"/>
        </w:rPr>
        <w:t xml:space="preserve"> 2 (LDP2)</w:t>
      </w:r>
    </w:p>
    <w:p w14:paraId="64A316ED" w14:textId="77777777" w:rsidR="001E61EB" w:rsidRPr="001E61EB" w:rsidRDefault="00A334F0" w:rsidP="001E61EB">
      <w:pPr>
        <w:jc w:val="center"/>
        <w:rPr>
          <w:rFonts w:ascii="Arial" w:hAnsi="Arial" w:cs="Arial"/>
          <w:b/>
          <w:sz w:val="22"/>
          <w:szCs w:val="22"/>
        </w:rPr>
      </w:pPr>
      <w:r w:rsidRPr="001E61EB">
        <w:rPr>
          <w:rFonts w:ascii="Arial" w:hAnsi="Arial" w:cs="Arial"/>
          <w:b/>
          <w:sz w:val="22"/>
          <w:szCs w:val="22"/>
        </w:rPr>
        <w:t xml:space="preserve">STATEMENT OF PUBLICITY AND CONSULTATION ON </w:t>
      </w:r>
      <w:r w:rsidR="001E61EB" w:rsidRPr="001E61EB">
        <w:rPr>
          <w:rFonts w:ascii="Arial" w:hAnsi="Arial" w:cs="Arial"/>
          <w:b/>
          <w:sz w:val="22"/>
          <w:szCs w:val="22"/>
        </w:rPr>
        <w:t>SG0</w:t>
      </w:r>
      <w:r w:rsidR="00E32DE0">
        <w:rPr>
          <w:rFonts w:ascii="Arial" w:hAnsi="Arial" w:cs="Arial"/>
          <w:b/>
          <w:sz w:val="22"/>
          <w:szCs w:val="22"/>
        </w:rPr>
        <w:t xml:space="preserve">1 SG06 </w:t>
      </w:r>
      <w:r w:rsidR="00ED5AC2">
        <w:rPr>
          <w:rFonts w:ascii="Arial" w:hAnsi="Arial" w:cs="Arial"/>
          <w:b/>
          <w:sz w:val="22"/>
          <w:szCs w:val="22"/>
        </w:rPr>
        <w:t xml:space="preserve">SG07 </w:t>
      </w:r>
      <w:r w:rsidR="00E32DE0">
        <w:rPr>
          <w:rFonts w:ascii="Arial" w:hAnsi="Arial" w:cs="Arial"/>
          <w:b/>
          <w:sz w:val="22"/>
          <w:szCs w:val="22"/>
        </w:rPr>
        <w:t>and SG13</w:t>
      </w:r>
    </w:p>
    <w:p w14:paraId="5FB37230" w14:textId="77777777" w:rsidR="007D2DB4" w:rsidRPr="00CE6C58" w:rsidRDefault="007D2DB4" w:rsidP="001E61EB">
      <w:pPr>
        <w:jc w:val="center"/>
        <w:rPr>
          <w:rFonts w:ascii="Arial" w:hAnsi="Arial" w:cs="Arial"/>
          <w:b/>
          <w:sz w:val="22"/>
          <w:szCs w:val="22"/>
        </w:rPr>
      </w:pPr>
    </w:p>
    <w:p w14:paraId="02309174" w14:textId="77777777" w:rsidR="00596B98" w:rsidRPr="00CE6C58" w:rsidRDefault="00596B98">
      <w:pPr>
        <w:rPr>
          <w:rFonts w:ascii="Arial" w:hAnsi="Arial" w:cs="Arial"/>
          <w:sz w:val="22"/>
          <w:szCs w:val="22"/>
        </w:rPr>
      </w:pPr>
    </w:p>
    <w:p w14:paraId="1C48C5D7" w14:textId="77777777" w:rsidR="007D2DB4" w:rsidRPr="00CE6C58" w:rsidRDefault="007D2DB4">
      <w:pPr>
        <w:rPr>
          <w:rFonts w:ascii="Arial" w:hAnsi="Arial" w:cs="Arial"/>
          <w:sz w:val="22"/>
          <w:szCs w:val="22"/>
        </w:rPr>
      </w:pPr>
    </w:p>
    <w:p w14:paraId="2EDA9383" w14:textId="77777777" w:rsidR="00596B98" w:rsidRPr="00CE6C58" w:rsidRDefault="007A4E44">
      <w:pPr>
        <w:rPr>
          <w:rFonts w:ascii="Arial" w:hAnsi="Arial" w:cs="Arial"/>
          <w:b/>
          <w:sz w:val="22"/>
          <w:szCs w:val="22"/>
        </w:rPr>
      </w:pPr>
      <w:r w:rsidRPr="00CE6C58">
        <w:rPr>
          <w:rFonts w:ascii="Arial" w:hAnsi="Arial" w:cs="Arial"/>
          <w:b/>
          <w:sz w:val="22"/>
          <w:szCs w:val="22"/>
        </w:rPr>
        <w:t>1</w:t>
      </w:r>
      <w:r w:rsidRPr="00CE6C58">
        <w:rPr>
          <w:rFonts w:ascii="Arial" w:hAnsi="Arial" w:cs="Arial"/>
          <w:b/>
          <w:sz w:val="22"/>
          <w:szCs w:val="22"/>
        </w:rPr>
        <w:tab/>
      </w:r>
      <w:r w:rsidR="00596B98" w:rsidRPr="00CE6C58">
        <w:rPr>
          <w:rFonts w:ascii="Arial" w:hAnsi="Arial" w:cs="Arial"/>
          <w:b/>
          <w:sz w:val="22"/>
          <w:szCs w:val="22"/>
        </w:rPr>
        <w:t>Statutory Requirement</w:t>
      </w:r>
    </w:p>
    <w:p w14:paraId="1259E13C" w14:textId="77777777" w:rsidR="007A4E44" w:rsidRPr="00CE6C58" w:rsidRDefault="007A4E44">
      <w:pPr>
        <w:rPr>
          <w:rFonts w:ascii="Arial" w:hAnsi="Arial" w:cs="Arial"/>
          <w:b/>
          <w:sz w:val="22"/>
          <w:szCs w:val="22"/>
        </w:rPr>
      </w:pPr>
    </w:p>
    <w:p w14:paraId="1D2269B4" w14:textId="77777777" w:rsidR="00964A3E" w:rsidRPr="00CE6C58" w:rsidRDefault="007A4E44" w:rsidP="000A5B2B">
      <w:pPr>
        <w:ind w:left="720" w:hanging="720"/>
        <w:rPr>
          <w:rFonts w:ascii="Arial" w:hAnsi="Arial" w:cs="Arial"/>
          <w:sz w:val="22"/>
          <w:szCs w:val="22"/>
        </w:rPr>
      </w:pPr>
      <w:r w:rsidRPr="00CE6C58">
        <w:rPr>
          <w:rFonts w:ascii="Arial" w:hAnsi="Arial" w:cs="Arial"/>
          <w:sz w:val="22"/>
          <w:szCs w:val="22"/>
        </w:rPr>
        <w:t>1.1</w:t>
      </w:r>
      <w:r w:rsidRPr="00CE6C58">
        <w:rPr>
          <w:rFonts w:ascii="Arial" w:hAnsi="Arial" w:cs="Arial"/>
          <w:sz w:val="22"/>
          <w:szCs w:val="22"/>
        </w:rPr>
        <w:tab/>
      </w:r>
      <w:r w:rsidR="00596B98" w:rsidRPr="00CE6C58">
        <w:rPr>
          <w:rFonts w:ascii="Arial" w:hAnsi="Arial" w:cs="Arial"/>
          <w:sz w:val="22"/>
          <w:szCs w:val="22"/>
        </w:rPr>
        <w:t xml:space="preserve">This statement has been prepared in </w:t>
      </w:r>
      <w:r w:rsidR="00D87185" w:rsidRPr="00CE6C58">
        <w:rPr>
          <w:rFonts w:ascii="Arial" w:hAnsi="Arial" w:cs="Arial"/>
          <w:sz w:val="22"/>
          <w:szCs w:val="22"/>
        </w:rPr>
        <w:t xml:space="preserve">accordance with </w:t>
      </w:r>
      <w:r w:rsidR="00596B98" w:rsidRPr="00CE6C58">
        <w:rPr>
          <w:rFonts w:ascii="Arial" w:hAnsi="Arial" w:cs="Arial"/>
          <w:sz w:val="22"/>
          <w:szCs w:val="22"/>
        </w:rPr>
        <w:t xml:space="preserve">Section 22 of </w:t>
      </w:r>
      <w:r w:rsidR="00D87185" w:rsidRPr="00CE6C58">
        <w:rPr>
          <w:rFonts w:ascii="Arial" w:hAnsi="Arial" w:cs="Arial"/>
          <w:sz w:val="22"/>
          <w:szCs w:val="22"/>
        </w:rPr>
        <w:t xml:space="preserve">the Town and Country Planning (Scotland) Act 1997, as inserted by the </w:t>
      </w:r>
      <w:r w:rsidR="00596B98" w:rsidRPr="00CE6C58">
        <w:rPr>
          <w:rFonts w:ascii="Arial" w:hAnsi="Arial" w:cs="Arial"/>
          <w:sz w:val="22"/>
          <w:szCs w:val="22"/>
        </w:rPr>
        <w:t>Planning etc. (Scotland</w:t>
      </w:r>
      <w:r w:rsidR="00D87185" w:rsidRPr="00CE6C58">
        <w:rPr>
          <w:rFonts w:ascii="Arial" w:hAnsi="Arial" w:cs="Arial"/>
          <w:sz w:val="22"/>
          <w:szCs w:val="22"/>
        </w:rPr>
        <w:t>) Act 2006,</w:t>
      </w:r>
      <w:r w:rsidR="00596B98" w:rsidRPr="00CE6C58">
        <w:rPr>
          <w:rFonts w:ascii="Arial" w:hAnsi="Arial" w:cs="Arial"/>
          <w:sz w:val="22"/>
          <w:szCs w:val="22"/>
        </w:rPr>
        <w:t xml:space="preserve"> which requires planning authorities </w:t>
      </w:r>
      <w:r w:rsidR="00D87185" w:rsidRPr="00CE6C58">
        <w:rPr>
          <w:rFonts w:ascii="Arial" w:hAnsi="Arial" w:cs="Arial"/>
          <w:sz w:val="22"/>
          <w:szCs w:val="22"/>
        </w:rPr>
        <w:t xml:space="preserve">to consult on Supplementary Guidance they have drafted, and to </w:t>
      </w:r>
      <w:r w:rsidR="00596B98" w:rsidRPr="00CE6C58">
        <w:rPr>
          <w:rFonts w:ascii="Arial" w:hAnsi="Arial" w:cs="Arial"/>
          <w:sz w:val="22"/>
          <w:szCs w:val="22"/>
        </w:rPr>
        <w:t>prepare a state</w:t>
      </w:r>
      <w:r w:rsidR="000A5B2B" w:rsidRPr="00CE6C58">
        <w:rPr>
          <w:rFonts w:ascii="Arial" w:hAnsi="Arial" w:cs="Arial"/>
          <w:sz w:val="22"/>
          <w:szCs w:val="22"/>
        </w:rPr>
        <w:t>ment setting out the p</w:t>
      </w:r>
      <w:r w:rsidR="00964A3E" w:rsidRPr="00CE6C58">
        <w:rPr>
          <w:rFonts w:ascii="Arial" w:hAnsi="Arial" w:cs="Arial"/>
          <w:sz w:val="22"/>
          <w:szCs w:val="22"/>
        </w:rPr>
        <w:t xml:space="preserve">ublicity measures </w:t>
      </w:r>
      <w:r w:rsidR="000A5B2B" w:rsidRPr="00CE6C58">
        <w:rPr>
          <w:rFonts w:ascii="Arial" w:hAnsi="Arial" w:cs="Arial"/>
          <w:sz w:val="22"/>
          <w:szCs w:val="22"/>
        </w:rPr>
        <w:t xml:space="preserve">they have </w:t>
      </w:r>
      <w:r w:rsidR="00964A3E" w:rsidRPr="00CE6C58">
        <w:rPr>
          <w:rFonts w:ascii="Arial" w:hAnsi="Arial" w:cs="Arial"/>
          <w:sz w:val="22"/>
          <w:szCs w:val="22"/>
        </w:rPr>
        <w:t>undertaken</w:t>
      </w:r>
      <w:r w:rsidR="000A5B2B" w:rsidRPr="00CE6C58">
        <w:rPr>
          <w:rFonts w:ascii="Arial" w:hAnsi="Arial" w:cs="Arial"/>
          <w:sz w:val="22"/>
          <w:szCs w:val="22"/>
        </w:rPr>
        <w:t>, the comments they received and a</w:t>
      </w:r>
      <w:r w:rsidR="00964A3E" w:rsidRPr="00CE6C58">
        <w:rPr>
          <w:rFonts w:ascii="Arial" w:hAnsi="Arial" w:cs="Arial"/>
          <w:sz w:val="22"/>
          <w:szCs w:val="22"/>
        </w:rPr>
        <w:t xml:space="preserve">n explanation of how these comments were </w:t>
      </w:r>
      <w:proofErr w:type="gramStart"/>
      <w:r w:rsidR="00964A3E" w:rsidRPr="00CE6C58">
        <w:rPr>
          <w:rFonts w:ascii="Arial" w:hAnsi="Arial" w:cs="Arial"/>
          <w:sz w:val="22"/>
          <w:szCs w:val="22"/>
        </w:rPr>
        <w:t>taken into account</w:t>
      </w:r>
      <w:proofErr w:type="gramEnd"/>
      <w:r w:rsidR="000A5B2B" w:rsidRPr="00CE6C58">
        <w:rPr>
          <w:rFonts w:ascii="Arial" w:hAnsi="Arial" w:cs="Arial"/>
          <w:sz w:val="22"/>
          <w:szCs w:val="22"/>
        </w:rPr>
        <w:t>.</w:t>
      </w:r>
    </w:p>
    <w:p w14:paraId="4C3DECFD" w14:textId="77777777" w:rsidR="005614A3" w:rsidRPr="00CE6C58" w:rsidRDefault="005614A3">
      <w:pPr>
        <w:rPr>
          <w:rFonts w:ascii="Arial" w:hAnsi="Arial" w:cs="Arial"/>
          <w:sz w:val="22"/>
          <w:szCs w:val="22"/>
        </w:rPr>
      </w:pPr>
    </w:p>
    <w:p w14:paraId="7EB99480" w14:textId="77777777" w:rsidR="005614A3" w:rsidRPr="00CE6C58" w:rsidRDefault="007A4E44">
      <w:pPr>
        <w:rPr>
          <w:rFonts w:ascii="Arial" w:hAnsi="Arial" w:cs="Arial"/>
          <w:b/>
          <w:sz w:val="22"/>
          <w:szCs w:val="22"/>
        </w:rPr>
      </w:pPr>
      <w:r w:rsidRPr="00CE6C58">
        <w:rPr>
          <w:rFonts w:ascii="Arial" w:hAnsi="Arial" w:cs="Arial"/>
          <w:b/>
          <w:sz w:val="22"/>
          <w:szCs w:val="22"/>
        </w:rPr>
        <w:t>2</w:t>
      </w:r>
      <w:r w:rsidRPr="00CE6C58">
        <w:rPr>
          <w:rFonts w:ascii="Arial" w:hAnsi="Arial" w:cs="Arial"/>
          <w:b/>
          <w:sz w:val="22"/>
          <w:szCs w:val="22"/>
        </w:rPr>
        <w:tab/>
      </w:r>
      <w:r w:rsidR="00577842" w:rsidRPr="00CE6C58">
        <w:rPr>
          <w:rFonts w:ascii="Arial" w:hAnsi="Arial" w:cs="Arial"/>
          <w:b/>
          <w:sz w:val="22"/>
          <w:szCs w:val="22"/>
        </w:rPr>
        <w:t>Background</w:t>
      </w:r>
    </w:p>
    <w:p w14:paraId="3082F69A" w14:textId="77777777" w:rsidR="007A4E44" w:rsidRPr="00CE6C58" w:rsidRDefault="007A4E44">
      <w:pPr>
        <w:rPr>
          <w:rFonts w:ascii="Arial" w:hAnsi="Arial" w:cs="Arial"/>
          <w:sz w:val="22"/>
          <w:szCs w:val="22"/>
        </w:rPr>
      </w:pPr>
    </w:p>
    <w:p w14:paraId="2B3B2E6A" w14:textId="77777777" w:rsidR="00E32DE0" w:rsidRDefault="007A4E44" w:rsidP="001E61EB">
      <w:pPr>
        <w:ind w:left="720" w:hanging="720"/>
        <w:rPr>
          <w:rFonts w:ascii="Arial" w:hAnsi="Arial" w:cs="Arial"/>
          <w:sz w:val="22"/>
          <w:szCs w:val="22"/>
        </w:rPr>
      </w:pPr>
      <w:r w:rsidRPr="00CE6C58">
        <w:rPr>
          <w:rFonts w:ascii="Arial" w:hAnsi="Arial" w:cs="Arial"/>
          <w:sz w:val="22"/>
          <w:szCs w:val="22"/>
        </w:rPr>
        <w:t>2.1</w:t>
      </w:r>
      <w:r w:rsidRPr="00CE6C58">
        <w:rPr>
          <w:rFonts w:ascii="Arial" w:hAnsi="Arial" w:cs="Arial"/>
          <w:sz w:val="22"/>
          <w:szCs w:val="22"/>
        </w:rPr>
        <w:tab/>
      </w:r>
      <w:r w:rsidR="008F153B" w:rsidRPr="00CE6C58">
        <w:rPr>
          <w:rFonts w:ascii="Arial" w:hAnsi="Arial" w:cs="Arial"/>
          <w:sz w:val="22"/>
          <w:szCs w:val="22"/>
          <w:lang w:val="en"/>
        </w:rPr>
        <w:t>The Falkirk Local Development Plan 2 (LDP2) was adopted on 7</w:t>
      </w:r>
      <w:r w:rsidR="008F153B" w:rsidRPr="00CE6C58">
        <w:rPr>
          <w:rFonts w:ascii="Arial" w:hAnsi="Arial" w:cs="Arial"/>
          <w:sz w:val="22"/>
          <w:szCs w:val="22"/>
          <w:vertAlign w:val="superscript"/>
          <w:lang w:val="en"/>
        </w:rPr>
        <w:t>th</w:t>
      </w:r>
      <w:r w:rsidR="008F153B" w:rsidRPr="00CE6C58">
        <w:rPr>
          <w:rFonts w:ascii="Arial" w:hAnsi="Arial" w:cs="Arial"/>
          <w:sz w:val="22"/>
          <w:szCs w:val="22"/>
          <w:lang w:val="en"/>
        </w:rPr>
        <w:t xml:space="preserve"> </w:t>
      </w:r>
      <w:r w:rsidR="0078357F" w:rsidRPr="00CE6C58">
        <w:rPr>
          <w:rFonts w:ascii="Arial" w:hAnsi="Arial" w:cs="Arial"/>
          <w:sz w:val="22"/>
          <w:szCs w:val="22"/>
          <w:lang w:val="en"/>
        </w:rPr>
        <w:t xml:space="preserve">August 2020, and </w:t>
      </w:r>
      <w:r w:rsidR="00D87B92" w:rsidRPr="00CE6C58">
        <w:rPr>
          <w:rFonts w:ascii="Arial" w:hAnsi="Arial" w:cs="Arial"/>
          <w:sz w:val="22"/>
          <w:szCs w:val="22"/>
          <w:lang w:val="en"/>
        </w:rPr>
        <w:t>links</w:t>
      </w:r>
      <w:r w:rsidR="008F153B" w:rsidRPr="00CE6C58">
        <w:rPr>
          <w:rFonts w:ascii="Arial" w:hAnsi="Arial" w:cs="Arial"/>
          <w:sz w:val="22"/>
          <w:szCs w:val="22"/>
          <w:lang w:val="en"/>
        </w:rPr>
        <w:t xml:space="preserve"> to 14 supplementary guidance notes</w:t>
      </w:r>
      <w:r w:rsidR="00B87977">
        <w:rPr>
          <w:rFonts w:ascii="Arial" w:hAnsi="Arial" w:cs="Arial"/>
          <w:sz w:val="22"/>
          <w:szCs w:val="22"/>
          <w:lang w:val="en"/>
        </w:rPr>
        <w:t xml:space="preserve"> (SGs)</w:t>
      </w:r>
      <w:r w:rsidR="00212250" w:rsidRPr="00CE6C58">
        <w:rPr>
          <w:rFonts w:ascii="Arial" w:hAnsi="Arial" w:cs="Arial"/>
          <w:sz w:val="22"/>
          <w:szCs w:val="22"/>
          <w:lang w:val="en"/>
        </w:rPr>
        <w:t xml:space="preserve">. It is our intention </w:t>
      </w:r>
      <w:r w:rsidR="00212250" w:rsidRPr="00CE6C58">
        <w:rPr>
          <w:rFonts w:ascii="Arial" w:hAnsi="Arial" w:cs="Arial"/>
          <w:sz w:val="22"/>
          <w:szCs w:val="22"/>
        </w:rPr>
        <w:t xml:space="preserve">to consult the public on SGs separately from LDP2 to ensure they are given adequate publicity aside from the LDP process. This Statement of Publicity relates to </w:t>
      </w:r>
      <w:r w:rsidR="00E32DE0">
        <w:rPr>
          <w:rFonts w:ascii="Arial" w:hAnsi="Arial" w:cs="Arial"/>
          <w:sz w:val="22"/>
          <w:szCs w:val="22"/>
        </w:rPr>
        <w:t xml:space="preserve">the following </w:t>
      </w:r>
      <w:r w:rsidR="00ED5AC2">
        <w:rPr>
          <w:rFonts w:ascii="Arial" w:hAnsi="Arial" w:cs="Arial"/>
          <w:sz w:val="22"/>
          <w:szCs w:val="22"/>
        </w:rPr>
        <w:t>four</w:t>
      </w:r>
      <w:r w:rsidR="00E32DE0">
        <w:rPr>
          <w:rFonts w:ascii="Arial" w:hAnsi="Arial" w:cs="Arial"/>
          <w:sz w:val="22"/>
          <w:szCs w:val="22"/>
        </w:rPr>
        <w:t xml:space="preserve"> SGs:</w:t>
      </w:r>
    </w:p>
    <w:p w14:paraId="18706264" w14:textId="77777777" w:rsidR="00E32DE0" w:rsidRDefault="00E32DE0" w:rsidP="001E61EB">
      <w:pPr>
        <w:ind w:left="720" w:hanging="720"/>
        <w:rPr>
          <w:rFonts w:ascii="Arial" w:hAnsi="Arial" w:cs="Arial"/>
          <w:sz w:val="22"/>
          <w:szCs w:val="22"/>
        </w:rPr>
      </w:pPr>
    </w:p>
    <w:p w14:paraId="2A7B4D8D" w14:textId="77777777" w:rsidR="00D3670C" w:rsidRPr="003E51E4" w:rsidRDefault="00E32DE0" w:rsidP="001E61EB">
      <w:pPr>
        <w:ind w:left="720" w:hanging="720"/>
        <w:rPr>
          <w:rFonts w:ascii="Arial" w:hAnsi="Arial" w:cs="Arial"/>
          <w:sz w:val="22"/>
          <w:szCs w:val="22"/>
          <w:lang w:val="en"/>
        </w:rPr>
      </w:pPr>
      <w:r>
        <w:rPr>
          <w:rFonts w:ascii="Arial" w:hAnsi="Arial" w:cs="Arial"/>
          <w:sz w:val="22"/>
          <w:szCs w:val="22"/>
        </w:rPr>
        <w:tab/>
      </w:r>
      <w:r w:rsidRPr="003E51E4">
        <w:rPr>
          <w:rFonts w:ascii="Arial" w:hAnsi="Arial" w:cs="Arial"/>
          <w:sz w:val="22"/>
          <w:szCs w:val="22"/>
        </w:rPr>
        <w:t>SG01</w:t>
      </w:r>
      <w:r>
        <w:rPr>
          <w:rFonts w:ascii="Arial" w:hAnsi="Arial" w:cs="Arial"/>
          <w:sz w:val="22"/>
          <w:szCs w:val="22"/>
        </w:rPr>
        <w:tab/>
      </w:r>
      <w:hyperlink r:id="rId11" w:tgtFrame="_blank" w:tooltip="Download the 'SG01 Development in the Countryside' PDF (2.1 MB)" w:history="1">
        <w:r w:rsidRPr="003E51E4">
          <w:rPr>
            <w:rStyle w:val="Hyperlink"/>
            <w:rFonts w:ascii="Arial" w:hAnsi="Arial" w:cs="Arial"/>
            <w:color w:val="auto"/>
            <w:sz w:val="22"/>
            <w:szCs w:val="22"/>
            <w:u w:val="none"/>
            <w:lang w:val="en"/>
          </w:rPr>
          <w:t>Development in the Countryside</w:t>
        </w:r>
      </w:hyperlink>
    </w:p>
    <w:p w14:paraId="575AEF0A" w14:textId="77777777" w:rsidR="00E32DE0" w:rsidRDefault="00E32DE0" w:rsidP="003E51E4">
      <w:pPr>
        <w:ind w:left="720"/>
        <w:rPr>
          <w:rFonts w:ascii="Arial" w:hAnsi="Arial" w:cs="Arial"/>
          <w:sz w:val="22"/>
          <w:szCs w:val="22"/>
          <w:lang w:val="en"/>
        </w:rPr>
      </w:pPr>
      <w:r w:rsidRPr="003E51E4">
        <w:rPr>
          <w:rFonts w:ascii="Arial" w:hAnsi="Arial" w:cs="Arial"/>
          <w:sz w:val="22"/>
          <w:szCs w:val="22"/>
          <w:lang w:val="en"/>
        </w:rPr>
        <w:t>SG06</w:t>
      </w:r>
      <w:r w:rsidRPr="003E51E4">
        <w:rPr>
          <w:rFonts w:ascii="Arial" w:hAnsi="Arial" w:cs="Arial"/>
          <w:sz w:val="22"/>
          <w:szCs w:val="22"/>
          <w:lang w:val="en"/>
        </w:rPr>
        <w:tab/>
      </w:r>
      <w:hyperlink r:id="rId12" w:tgtFrame="_blank" w:tooltip="Download the 'SG06 Affordable Housing' PDF (1.1 MB)" w:history="1">
        <w:r w:rsidRPr="003E51E4">
          <w:rPr>
            <w:rStyle w:val="Hyperlink"/>
            <w:rFonts w:ascii="Arial" w:hAnsi="Arial" w:cs="Arial"/>
            <w:color w:val="auto"/>
            <w:sz w:val="22"/>
            <w:szCs w:val="22"/>
            <w:u w:val="none"/>
            <w:lang w:val="en"/>
          </w:rPr>
          <w:t>Affordable Housing</w:t>
        </w:r>
      </w:hyperlink>
    </w:p>
    <w:p w14:paraId="56914426" w14:textId="77777777" w:rsidR="00ED5AC2" w:rsidRPr="003E51E4" w:rsidRDefault="00ED5AC2" w:rsidP="003E51E4">
      <w:pPr>
        <w:ind w:left="720"/>
        <w:rPr>
          <w:rFonts w:ascii="Arial" w:hAnsi="Arial" w:cs="Arial"/>
          <w:sz w:val="22"/>
          <w:szCs w:val="22"/>
          <w:lang w:val="en"/>
        </w:rPr>
      </w:pPr>
      <w:r>
        <w:rPr>
          <w:rFonts w:ascii="Arial" w:hAnsi="Arial" w:cs="Arial"/>
          <w:sz w:val="22"/>
          <w:szCs w:val="22"/>
          <w:lang w:val="en"/>
        </w:rPr>
        <w:t>SG07</w:t>
      </w:r>
      <w:r>
        <w:rPr>
          <w:rFonts w:ascii="Arial" w:hAnsi="Arial" w:cs="Arial"/>
          <w:sz w:val="22"/>
          <w:szCs w:val="22"/>
          <w:lang w:val="en"/>
        </w:rPr>
        <w:tab/>
        <w:t>Biodiversity and Development</w:t>
      </w:r>
    </w:p>
    <w:p w14:paraId="1DF046C4" w14:textId="77777777" w:rsidR="00E32DE0" w:rsidRDefault="00E32DE0" w:rsidP="003E51E4">
      <w:pPr>
        <w:ind w:left="720"/>
        <w:rPr>
          <w:rFonts w:ascii="Arial" w:hAnsi="Arial" w:cs="Arial"/>
          <w:sz w:val="22"/>
          <w:szCs w:val="22"/>
          <w:lang w:val="en"/>
        </w:rPr>
      </w:pPr>
      <w:r w:rsidRPr="003E51E4">
        <w:rPr>
          <w:rFonts w:ascii="Arial" w:hAnsi="Arial" w:cs="Arial"/>
          <w:sz w:val="22"/>
          <w:szCs w:val="22"/>
          <w:lang w:val="en"/>
        </w:rPr>
        <w:t>SG13</w:t>
      </w:r>
      <w:r>
        <w:rPr>
          <w:rFonts w:ascii="Arial" w:hAnsi="Arial" w:cs="Arial"/>
          <w:sz w:val="22"/>
          <w:szCs w:val="22"/>
          <w:lang w:val="en"/>
        </w:rPr>
        <w:tab/>
      </w:r>
      <w:r w:rsidRPr="003E51E4">
        <w:rPr>
          <w:rFonts w:ascii="Arial" w:hAnsi="Arial" w:cs="Arial"/>
          <w:sz w:val="22"/>
          <w:szCs w:val="22"/>
          <w:lang w:val="en"/>
        </w:rPr>
        <w:t>Developer Contributions</w:t>
      </w:r>
    </w:p>
    <w:p w14:paraId="25D78254" w14:textId="77777777" w:rsidR="00F36CC8" w:rsidRPr="003E51E4" w:rsidRDefault="00F36CC8" w:rsidP="003E51E4">
      <w:pPr>
        <w:ind w:left="720"/>
        <w:rPr>
          <w:rFonts w:ascii="Arial" w:hAnsi="Arial" w:cs="Arial"/>
          <w:sz w:val="22"/>
          <w:szCs w:val="22"/>
        </w:rPr>
      </w:pPr>
    </w:p>
    <w:p w14:paraId="57AFA209" w14:textId="77777777" w:rsidR="00F1649D" w:rsidRPr="003E51E4" w:rsidRDefault="00F36CC8" w:rsidP="003E51E4">
      <w:pPr>
        <w:pStyle w:val="StyleStyleNumberedParagraphBoldNotBold"/>
        <w:tabs>
          <w:tab w:val="clear" w:pos="709"/>
          <w:tab w:val="left" w:pos="2762"/>
        </w:tabs>
        <w:rPr>
          <w:rFonts w:ascii="Arial" w:hAnsi="Arial" w:cs="Arial"/>
          <w:u w:val="single"/>
        </w:rPr>
      </w:pPr>
      <w:r w:rsidRPr="003E51E4">
        <w:rPr>
          <w:rFonts w:ascii="Arial" w:hAnsi="Arial" w:cs="Arial"/>
        </w:rPr>
        <w:t>2.2</w:t>
      </w:r>
      <w:r w:rsidRPr="003E51E4">
        <w:rPr>
          <w:rFonts w:ascii="Arial" w:hAnsi="Arial" w:cs="Arial"/>
        </w:rPr>
        <w:tab/>
      </w:r>
      <w:r w:rsidR="00F1649D" w:rsidRPr="003E51E4">
        <w:rPr>
          <w:rFonts w:ascii="Arial" w:hAnsi="Arial" w:cs="Arial"/>
        </w:rPr>
        <w:t>SG01 Development in the Countryside</w:t>
      </w:r>
      <w:r w:rsidR="00903D1C">
        <w:rPr>
          <w:rFonts w:ascii="Arial" w:hAnsi="Arial" w:cs="Arial"/>
          <w:u w:val="single"/>
        </w:rPr>
        <w:t xml:space="preserve"> </w:t>
      </w:r>
      <w:r w:rsidR="00F1649D" w:rsidRPr="003E51E4">
        <w:rPr>
          <w:rFonts w:ascii="Arial" w:hAnsi="Arial" w:cs="Arial"/>
        </w:rPr>
        <w:t>provides guidance on the interpretation of policies on housing and business development in the countryside. It also contains design guidance on new buildings in the countryside. The updated guidance has been rolled forward from the previous LDP1 version with only minimal changes.  Revisions include the Reporter’s recommended wording revision to Criterion 2 of Policy HC05 contained in the Examination Report in relation to the restoration or replacement of houses in the countryside. The guidance on Infill Development has also been expanded to include criteria for cluster development within an established building group.</w:t>
      </w:r>
    </w:p>
    <w:p w14:paraId="07E82517" w14:textId="77777777" w:rsidR="00F1649D" w:rsidRDefault="00F1649D" w:rsidP="003E51E4">
      <w:pPr>
        <w:pStyle w:val="StyleStyleNumberedParagraphBoldNotBold"/>
        <w:tabs>
          <w:tab w:val="clear" w:pos="709"/>
          <w:tab w:val="left" w:pos="2762"/>
        </w:tabs>
        <w:ind w:left="0" w:firstLine="0"/>
        <w:rPr>
          <w:rFonts w:ascii="Arial" w:hAnsi="Arial" w:cs="Arial"/>
          <w:sz w:val="24"/>
          <w:szCs w:val="24"/>
        </w:rPr>
      </w:pPr>
    </w:p>
    <w:p w14:paraId="6FE39375" w14:textId="77777777" w:rsidR="00F1649D" w:rsidRPr="003E51E4" w:rsidRDefault="003E51E4" w:rsidP="003E51E4">
      <w:pPr>
        <w:pStyle w:val="StyleStyleNumberedParagraphBoldNotBold"/>
        <w:tabs>
          <w:tab w:val="clear" w:pos="709"/>
          <w:tab w:val="left" w:pos="2762"/>
        </w:tabs>
        <w:rPr>
          <w:rFonts w:ascii="Arial" w:hAnsi="Arial" w:cs="Arial"/>
          <w:sz w:val="24"/>
          <w:szCs w:val="24"/>
          <w:u w:val="single"/>
        </w:rPr>
      </w:pPr>
      <w:r w:rsidRPr="003E51E4">
        <w:rPr>
          <w:rFonts w:ascii="Arial" w:hAnsi="Arial" w:cs="Arial"/>
        </w:rPr>
        <w:t>2.3</w:t>
      </w:r>
      <w:r w:rsidRPr="003E51E4">
        <w:rPr>
          <w:rFonts w:ascii="Arial" w:hAnsi="Arial" w:cs="Arial"/>
        </w:rPr>
        <w:tab/>
      </w:r>
      <w:r w:rsidR="00F1649D" w:rsidRPr="003E51E4">
        <w:rPr>
          <w:rFonts w:ascii="Arial" w:hAnsi="Arial" w:cs="Arial"/>
        </w:rPr>
        <w:t>SG06 Affordable Housing</w:t>
      </w:r>
      <w:r w:rsidRPr="003E51E4">
        <w:rPr>
          <w:rFonts w:ascii="Arial" w:hAnsi="Arial" w:cs="Arial"/>
          <w:u w:val="single"/>
        </w:rPr>
        <w:t xml:space="preserve"> </w:t>
      </w:r>
      <w:r w:rsidR="00F1649D" w:rsidRPr="003E51E4">
        <w:rPr>
          <w:rFonts w:ascii="Arial" w:hAnsi="Arial" w:cs="Arial"/>
        </w:rPr>
        <w:t xml:space="preserve">provides guidance on affordable housing requirements within private housing sites. </w:t>
      </w:r>
      <w:proofErr w:type="gramStart"/>
      <w:r w:rsidR="00F1649D" w:rsidRPr="003E51E4">
        <w:rPr>
          <w:rFonts w:ascii="Arial" w:hAnsi="Arial" w:cs="Arial"/>
        </w:rPr>
        <w:t>Again</w:t>
      </w:r>
      <w:proofErr w:type="gramEnd"/>
      <w:r w:rsidR="00F1649D" w:rsidRPr="003E51E4">
        <w:rPr>
          <w:rFonts w:ascii="Arial" w:hAnsi="Arial" w:cs="Arial"/>
        </w:rPr>
        <w:t xml:space="preserve"> the updated guidance has been rolled forward from the previous LDP1 version with relatively few changes. One change of note is that the updated guidance now considers </w:t>
      </w:r>
      <w:proofErr w:type="gramStart"/>
      <w:r w:rsidR="00F1649D" w:rsidRPr="003E51E4">
        <w:rPr>
          <w:rFonts w:ascii="Arial" w:hAnsi="Arial" w:cs="Arial"/>
        </w:rPr>
        <w:t>the all</w:t>
      </w:r>
      <w:proofErr w:type="gramEnd"/>
      <w:r w:rsidR="00F1649D" w:rsidRPr="003E51E4">
        <w:rPr>
          <w:rFonts w:ascii="Arial" w:hAnsi="Arial" w:cs="Arial"/>
        </w:rPr>
        <w:t xml:space="preserve"> tenure wheelchair accessible housing target contained within the Local Housing Strategy, and allows wheelchair accessible housing to contribute towards the affordable housing provision required on sites. The Council’s preference for affordable housing delivery remains the same with social rented properties being the preferred option for delivery on private housing sites</w:t>
      </w:r>
      <w:r w:rsidR="00F1649D" w:rsidRPr="00466254">
        <w:rPr>
          <w:rFonts w:ascii="Arial" w:hAnsi="Arial" w:cs="Arial"/>
          <w:sz w:val="24"/>
          <w:szCs w:val="24"/>
        </w:rPr>
        <w:t>.</w:t>
      </w:r>
    </w:p>
    <w:p w14:paraId="089CE0E0" w14:textId="77777777" w:rsidR="00F1649D" w:rsidRDefault="00F1649D" w:rsidP="00F1649D">
      <w:pPr>
        <w:pStyle w:val="StyleStyleNumberedParagraphBoldNotBold"/>
        <w:tabs>
          <w:tab w:val="clear" w:pos="709"/>
          <w:tab w:val="left" w:pos="2762"/>
        </w:tabs>
        <w:rPr>
          <w:rFonts w:ascii="Arial" w:hAnsi="Arial" w:cs="Arial"/>
          <w:sz w:val="24"/>
          <w:szCs w:val="24"/>
        </w:rPr>
      </w:pPr>
    </w:p>
    <w:p w14:paraId="056B9E1C" w14:textId="77777777" w:rsidR="00F1649D" w:rsidRDefault="00F1649D" w:rsidP="00F1649D">
      <w:pPr>
        <w:pStyle w:val="StyleStyleNumberedParagraphBoldNotBold"/>
        <w:tabs>
          <w:tab w:val="clear" w:pos="709"/>
          <w:tab w:val="left" w:pos="2762"/>
        </w:tabs>
        <w:rPr>
          <w:rFonts w:ascii="Arial" w:hAnsi="Arial" w:cs="Arial"/>
          <w:sz w:val="24"/>
          <w:szCs w:val="24"/>
        </w:rPr>
      </w:pPr>
    </w:p>
    <w:p w14:paraId="0C9D5C83" w14:textId="77777777" w:rsidR="00ED5AC2" w:rsidRPr="00ED5AC2" w:rsidRDefault="003E51E4" w:rsidP="00ED5AC2">
      <w:pPr>
        <w:ind w:left="709" w:hanging="709"/>
        <w:jc w:val="both"/>
        <w:rPr>
          <w:rFonts w:ascii="Arial" w:hAnsi="Arial" w:cs="Arial"/>
          <w:sz w:val="22"/>
          <w:szCs w:val="22"/>
        </w:rPr>
      </w:pPr>
      <w:r>
        <w:rPr>
          <w:rFonts w:ascii="Arial" w:hAnsi="Arial" w:cs="Arial"/>
        </w:rPr>
        <w:lastRenderedPageBreak/>
        <w:t>2.4</w:t>
      </w:r>
      <w:r>
        <w:rPr>
          <w:rFonts w:ascii="Arial" w:hAnsi="Arial" w:cs="Arial"/>
        </w:rPr>
        <w:tab/>
      </w:r>
      <w:r w:rsidR="00ED5AC2" w:rsidRPr="00ED5AC2">
        <w:rPr>
          <w:rFonts w:ascii="Arial" w:hAnsi="Arial" w:cs="Arial"/>
          <w:sz w:val="22"/>
          <w:szCs w:val="22"/>
        </w:rPr>
        <w:t xml:space="preserve">SG07 </w:t>
      </w:r>
      <w:r w:rsidR="00ED5AC2" w:rsidRPr="00ED5AC2">
        <w:rPr>
          <w:rFonts w:ascii="Arial" w:hAnsi="Arial" w:cs="Arial"/>
          <w:sz w:val="22"/>
          <w:szCs w:val="22"/>
          <w:lang w:val="en"/>
        </w:rPr>
        <w:t>Biodiversity and Development</w:t>
      </w:r>
      <w:r w:rsidR="00ED5AC2">
        <w:rPr>
          <w:rFonts w:ascii="Arial" w:hAnsi="Arial" w:cs="Arial"/>
          <w:sz w:val="22"/>
          <w:szCs w:val="22"/>
        </w:rPr>
        <w:t xml:space="preserve"> </w:t>
      </w:r>
      <w:r w:rsidR="00ED5AC2" w:rsidRPr="001E61EB">
        <w:rPr>
          <w:rFonts w:ascii="Arial" w:hAnsi="Arial" w:cs="Arial"/>
          <w:sz w:val="22"/>
          <w:szCs w:val="22"/>
        </w:rPr>
        <w:t>provides guidance on integrating biodiversity considerations in the design process and techniques for protection and enhancement of biodiversity in new development, and mitigation and compensation of impacts.</w:t>
      </w:r>
      <w:r w:rsidR="00ED5AC2">
        <w:rPr>
          <w:rFonts w:ascii="Arial" w:hAnsi="Arial" w:cs="Arial"/>
          <w:sz w:val="22"/>
          <w:szCs w:val="22"/>
        </w:rPr>
        <w:t xml:space="preserve"> This SG is conside</w:t>
      </w:r>
      <w:r w:rsidR="00C15E4A">
        <w:rPr>
          <w:rFonts w:ascii="Arial" w:hAnsi="Arial" w:cs="Arial"/>
          <w:sz w:val="22"/>
          <w:szCs w:val="22"/>
        </w:rPr>
        <w:t xml:space="preserve">red to have worked well in LDP1 </w:t>
      </w:r>
      <w:r w:rsidR="00ED5AC2">
        <w:rPr>
          <w:rFonts w:ascii="Arial" w:hAnsi="Arial" w:cs="Arial"/>
          <w:sz w:val="22"/>
          <w:szCs w:val="22"/>
        </w:rPr>
        <w:t xml:space="preserve">and has required minor textual changes to roll forward to LDP2. </w:t>
      </w:r>
    </w:p>
    <w:p w14:paraId="0BF2B3E2" w14:textId="77777777" w:rsidR="00ED5AC2" w:rsidRDefault="00ED5AC2" w:rsidP="003E51E4">
      <w:pPr>
        <w:pStyle w:val="StyleStyleNumberedParagraphBoldNotBold"/>
        <w:tabs>
          <w:tab w:val="clear" w:pos="709"/>
          <w:tab w:val="left" w:pos="2762"/>
        </w:tabs>
        <w:rPr>
          <w:rFonts w:ascii="Arial" w:hAnsi="Arial" w:cs="Arial"/>
          <w:sz w:val="24"/>
          <w:szCs w:val="24"/>
        </w:rPr>
      </w:pPr>
    </w:p>
    <w:p w14:paraId="78EB919B" w14:textId="77777777" w:rsidR="00F1649D" w:rsidRDefault="00ED5AC2" w:rsidP="003E51E4">
      <w:pPr>
        <w:pStyle w:val="StyleStyleNumberedParagraphBoldNotBold"/>
        <w:tabs>
          <w:tab w:val="clear" w:pos="709"/>
          <w:tab w:val="left" w:pos="2762"/>
        </w:tabs>
        <w:rPr>
          <w:rFonts w:ascii="Arial" w:hAnsi="Arial" w:cs="Arial"/>
          <w:sz w:val="24"/>
          <w:szCs w:val="24"/>
        </w:rPr>
      </w:pPr>
      <w:r>
        <w:rPr>
          <w:rFonts w:ascii="Arial" w:hAnsi="Arial" w:cs="Arial"/>
          <w:sz w:val="24"/>
          <w:szCs w:val="24"/>
        </w:rPr>
        <w:t>2.5</w:t>
      </w:r>
      <w:r>
        <w:rPr>
          <w:rFonts w:ascii="Arial" w:hAnsi="Arial" w:cs="Arial"/>
          <w:sz w:val="24"/>
          <w:szCs w:val="24"/>
        </w:rPr>
        <w:tab/>
      </w:r>
      <w:r w:rsidR="00F1649D" w:rsidRPr="003E51E4">
        <w:rPr>
          <w:rFonts w:ascii="Arial" w:hAnsi="Arial" w:cs="Arial"/>
        </w:rPr>
        <w:t xml:space="preserve">SG13 Developer Contributions is a new SG consolidating and updating the previous SGs on Education and New Housing Development and Healthcare and New Housing </w:t>
      </w:r>
      <w:proofErr w:type="gramStart"/>
      <w:r w:rsidR="00F1649D" w:rsidRPr="003E51E4">
        <w:rPr>
          <w:rFonts w:ascii="Arial" w:hAnsi="Arial" w:cs="Arial"/>
        </w:rPr>
        <w:t>Development, and</w:t>
      </w:r>
      <w:proofErr w:type="gramEnd"/>
      <w:r w:rsidR="00F1649D" w:rsidRPr="003E51E4">
        <w:rPr>
          <w:rFonts w:ascii="Arial" w:hAnsi="Arial" w:cs="Arial"/>
        </w:rPr>
        <w:t xml:space="preserve"> providing new advice on other areas where Policy IR02 of LDP2 states that developer contributions may be sought. The SG describes the circumstances in which contributions will be sought, and how amounts payable will be calculated. It covers contributions for various matters including green infrastructure, transport, community facilities, placemaking and the historic environment. Detailed guidance is also given on evidencing and considering viability issues linked to developer contributions.</w:t>
      </w:r>
    </w:p>
    <w:p w14:paraId="003DE378" w14:textId="77777777" w:rsidR="00154D2D" w:rsidRPr="00CE6C58" w:rsidRDefault="00154D2D">
      <w:pPr>
        <w:rPr>
          <w:rFonts w:ascii="Arial" w:hAnsi="Arial" w:cs="Arial"/>
          <w:b/>
          <w:sz w:val="22"/>
          <w:szCs w:val="22"/>
        </w:rPr>
      </w:pPr>
    </w:p>
    <w:p w14:paraId="614C2552" w14:textId="77777777" w:rsidR="00154D2D" w:rsidRPr="00CE6C58" w:rsidRDefault="007A4E44">
      <w:pPr>
        <w:rPr>
          <w:rFonts w:ascii="Arial" w:hAnsi="Arial" w:cs="Arial"/>
          <w:b/>
          <w:sz w:val="22"/>
          <w:szCs w:val="22"/>
        </w:rPr>
      </w:pPr>
      <w:r w:rsidRPr="00CE6C58">
        <w:rPr>
          <w:rFonts w:ascii="Arial" w:hAnsi="Arial" w:cs="Arial"/>
          <w:b/>
          <w:sz w:val="22"/>
          <w:szCs w:val="22"/>
        </w:rPr>
        <w:t>3</w:t>
      </w:r>
      <w:r w:rsidRPr="00CE6C58">
        <w:rPr>
          <w:rFonts w:ascii="Arial" w:hAnsi="Arial" w:cs="Arial"/>
          <w:b/>
          <w:sz w:val="22"/>
          <w:szCs w:val="22"/>
        </w:rPr>
        <w:tab/>
      </w:r>
      <w:r w:rsidR="0020363A" w:rsidRPr="00CE6C58">
        <w:rPr>
          <w:rFonts w:ascii="Arial" w:hAnsi="Arial" w:cs="Arial"/>
          <w:b/>
          <w:sz w:val="22"/>
          <w:szCs w:val="22"/>
        </w:rPr>
        <w:t>Publicity and Consulta</w:t>
      </w:r>
      <w:r w:rsidR="00154D2D" w:rsidRPr="00CE6C58">
        <w:rPr>
          <w:rFonts w:ascii="Arial" w:hAnsi="Arial" w:cs="Arial"/>
          <w:b/>
          <w:sz w:val="22"/>
          <w:szCs w:val="22"/>
        </w:rPr>
        <w:t>tion Arrangements</w:t>
      </w:r>
    </w:p>
    <w:p w14:paraId="41409382" w14:textId="77777777" w:rsidR="00400592" w:rsidRPr="00CE6C58" w:rsidRDefault="00400592" w:rsidP="00AD1966">
      <w:pPr>
        <w:jc w:val="both"/>
        <w:rPr>
          <w:rFonts w:ascii="Arial" w:hAnsi="Arial" w:cs="Arial"/>
          <w:sz w:val="22"/>
          <w:szCs w:val="22"/>
        </w:rPr>
      </w:pPr>
    </w:p>
    <w:p w14:paraId="6567A67C" w14:textId="77777777" w:rsidR="00752527" w:rsidRPr="00B4450E" w:rsidRDefault="00752527" w:rsidP="007A4E44">
      <w:pPr>
        <w:ind w:firstLine="720"/>
        <w:jc w:val="both"/>
        <w:rPr>
          <w:rFonts w:ascii="Arial" w:hAnsi="Arial" w:cs="Arial"/>
          <w:b/>
          <w:sz w:val="22"/>
          <w:szCs w:val="22"/>
        </w:rPr>
      </w:pPr>
      <w:r w:rsidRPr="00B4450E">
        <w:rPr>
          <w:rFonts w:ascii="Arial" w:hAnsi="Arial" w:cs="Arial"/>
          <w:b/>
          <w:sz w:val="22"/>
          <w:szCs w:val="22"/>
        </w:rPr>
        <w:t>Advertisements</w:t>
      </w:r>
    </w:p>
    <w:p w14:paraId="546ACF18" w14:textId="77777777" w:rsidR="00CA647F" w:rsidRPr="00B4450E" w:rsidRDefault="007A4E44" w:rsidP="00975C43">
      <w:pPr>
        <w:pStyle w:val="Default"/>
        <w:ind w:left="720" w:hanging="720"/>
        <w:rPr>
          <w:sz w:val="22"/>
          <w:szCs w:val="22"/>
        </w:rPr>
      </w:pPr>
      <w:r w:rsidRPr="00B4450E">
        <w:rPr>
          <w:sz w:val="22"/>
          <w:szCs w:val="22"/>
        </w:rPr>
        <w:t>3.1</w:t>
      </w:r>
      <w:r w:rsidRPr="00B4450E">
        <w:rPr>
          <w:sz w:val="22"/>
          <w:szCs w:val="22"/>
        </w:rPr>
        <w:tab/>
      </w:r>
      <w:r w:rsidR="00752527" w:rsidRPr="00B4450E">
        <w:rPr>
          <w:sz w:val="22"/>
          <w:szCs w:val="22"/>
        </w:rPr>
        <w:t xml:space="preserve">To fulfil the statutory obligations ensuring that adequate publicity was given to the </w:t>
      </w:r>
      <w:r w:rsidR="0010279E" w:rsidRPr="00B4450E">
        <w:rPr>
          <w:sz w:val="22"/>
          <w:szCs w:val="22"/>
        </w:rPr>
        <w:t xml:space="preserve">Draft </w:t>
      </w:r>
      <w:r w:rsidR="00E32DE0" w:rsidRPr="00B4450E">
        <w:rPr>
          <w:sz w:val="22"/>
          <w:szCs w:val="22"/>
        </w:rPr>
        <w:t>SG0</w:t>
      </w:r>
      <w:r w:rsidR="00E32DE0">
        <w:rPr>
          <w:sz w:val="22"/>
          <w:szCs w:val="22"/>
        </w:rPr>
        <w:t xml:space="preserve">1 SG06 </w:t>
      </w:r>
      <w:r w:rsidR="00ED5AC2">
        <w:rPr>
          <w:sz w:val="22"/>
          <w:szCs w:val="22"/>
        </w:rPr>
        <w:t xml:space="preserve">SGO7 </w:t>
      </w:r>
      <w:r w:rsidR="00E32DE0">
        <w:rPr>
          <w:sz w:val="22"/>
          <w:szCs w:val="22"/>
        </w:rPr>
        <w:t>and SG13</w:t>
      </w:r>
      <w:r w:rsidR="00B87977">
        <w:rPr>
          <w:sz w:val="22"/>
          <w:szCs w:val="22"/>
        </w:rPr>
        <w:t>,</w:t>
      </w:r>
      <w:r w:rsidR="00E32DE0" w:rsidRPr="00B4450E">
        <w:rPr>
          <w:sz w:val="22"/>
          <w:szCs w:val="22"/>
        </w:rPr>
        <w:t xml:space="preserve"> </w:t>
      </w:r>
      <w:r w:rsidR="00752527" w:rsidRPr="00B4450E">
        <w:rPr>
          <w:sz w:val="22"/>
          <w:szCs w:val="22"/>
        </w:rPr>
        <w:t>public advertisements were placed in two local newspapers Falkirk Herald (</w:t>
      </w:r>
      <w:r w:rsidR="00B4450E">
        <w:rPr>
          <w:sz w:val="22"/>
          <w:szCs w:val="22"/>
          <w:lang w:val="en"/>
        </w:rPr>
        <w:t>14</w:t>
      </w:r>
      <w:r w:rsidR="00EF1F84" w:rsidRPr="00EF1F84">
        <w:rPr>
          <w:sz w:val="22"/>
          <w:szCs w:val="22"/>
          <w:vertAlign w:val="superscript"/>
          <w:lang w:val="en"/>
        </w:rPr>
        <w:t>th</w:t>
      </w:r>
      <w:r w:rsidR="00EF1F84">
        <w:rPr>
          <w:sz w:val="22"/>
          <w:szCs w:val="22"/>
          <w:lang w:val="en"/>
        </w:rPr>
        <w:t xml:space="preserve"> </w:t>
      </w:r>
      <w:r w:rsidR="00B4450E" w:rsidRPr="00B4450E">
        <w:rPr>
          <w:sz w:val="22"/>
          <w:szCs w:val="22"/>
          <w:lang w:val="en"/>
        </w:rPr>
        <w:t>October 202</w:t>
      </w:r>
      <w:r w:rsidR="00EF1F84">
        <w:rPr>
          <w:sz w:val="22"/>
          <w:szCs w:val="22"/>
          <w:lang w:val="en"/>
        </w:rPr>
        <w:t>0</w:t>
      </w:r>
      <w:r w:rsidR="00B4450E" w:rsidRPr="00B4450E">
        <w:rPr>
          <w:sz w:val="22"/>
          <w:szCs w:val="22"/>
          <w:lang w:val="en"/>
        </w:rPr>
        <w:t xml:space="preserve">) </w:t>
      </w:r>
      <w:r w:rsidR="00752527" w:rsidRPr="00B4450E">
        <w:rPr>
          <w:sz w:val="22"/>
          <w:szCs w:val="22"/>
        </w:rPr>
        <w:t xml:space="preserve">and the </w:t>
      </w:r>
      <w:r w:rsidR="0078357F" w:rsidRPr="00B4450E">
        <w:rPr>
          <w:sz w:val="22"/>
          <w:szCs w:val="22"/>
        </w:rPr>
        <w:t>Linlithgow Gazette</w:t>
      </w:r>
      <w:r w:rsidR="00752527" w:rsidRPr="00B4450E">
        <w:rPr>
          <w:sz w:val="22"/>
          <w:szCs w:val="22"/>
        </w:rPr>
        <w:t xml:space="preserve"> (</w:t>
      </w:r>
      <w:r w:rsidR="00EF1F84">
        <w:rPr>
          <w:sz w:val="22"/>
          <w:szCs w:val="22"/>
        </w:rPr>
        <w:t>1</w:t>
      </w:r>
      <w:r w:rsidR="00B4450E">
        <w:rPr>
          <w:sz w:val="22"/>
          <w:szCs w:val="22"/>
        </w:rPr>
        <w:t>5</w:t>
      </w:r>
      <w:r w:rsidR="00EF1F84" w:rsidRPr="00EF1F84">
        <w:rPr>
          <w:sz w:val="22"/>
          <w:szCs w:val="22"/>
          <w:vertAlign w:val="superscript"/>
        </w:rPr>
        <w:t>th</w:t>
      </w:r>
      <w:r w:rsidR="00212250" w:rsidRPr="00B4450E">
        <w:rPr>
          <w:sz w:val="22"/>
          <w:szCs w:val="22"/>
        </w:rPr>
        <w:t xml:space="preserve"> </w:t>
      </w:r>
      <w:r w:rsidR="00B4450E">
        <w:rPr>
          <w:sz w:val="22"/>
          <w:szCs w:val="22"/>
        </w:rPr>
        <w:t>October</w:t>
      </w:r>
      <w:r w:rsidR="00B4450E" w:rsidRPr="00B4450E">
        <w:rPr>
          <w:sz w:val="22"/>
          <w:szCs w:val="22"/>
        </w:rPr>
        <w:t xml:space="preserve"> 202</w:t>
      </w:r>
      <w:r w:rsidR="00EF1F84">
        <w:rPr>
          <w:sz w:val="22"/>
          <w:szCs w:val="22"/>
        </w:rPr>
        <w:t>0</w:t>
      </w:r>
      <w:r w:rsidR="00752527" w:rsidRPr="00B4450E">
        <w:rPr>
          <w:sz w:val="22"/>
          <w:szCs w:val="22"/>
        </w:rPr>
        <w:t>) at the start of the consultation period.</w:t>
      </w:r>
      <w:r w:rsidR="00CA647F" w:rsidRPr="00B4450E">
        <w:rPr>
          <w:sz w:val="22"/>
          <w:szCs w:val="22"/>
        </w:rPr>
        <w:t xml:space="preserve"> </w:t>
      </w:r>
      <w:r w:rsidR="00505FE8" w:rsidRPr="00B4450E">
        <w:rPr>
          <w:sz w:val="22"/>
          <w:szCs w:val="22"/>
        </w:rPr>
        <w:t>An announcement was also made on Falkirk Development Plan Facebook page.</w:t>
      </w:r>
    </w:p>
    <w:p w14:paraId="2097A2B6" w14:textId="77777777" w:rsidR="00CA647F" w:rsidRPr="00CE6C58" w:rsidRDefault="00CA647F" w:rsidP="00752527">
      <w:pPr>
        <w:pStyle w:val="Default"/>
        <w:rPr>
          <w:sz w:val="22"/>
          <w:szCs w:val="22"/>
        </w:rPr>
      </w:pPr>
    </w:p>
    <w:p w14:paraId="7449F588" w14:textId="77777777" w:rsidR="00400592" w:rsidRPr="00CE6C58" w:rsidRDefault="00E65B7C" w:rsidP="000F5593">
      <w:pPr>
        <w:ind w:firstLine="720"/>
        <w:jc w:val="both"/>
        <w:rPr>
          <w:rFonts w:ascii="Arial" w:hAnsi="Arial" w:cs="Arial"/>
          <w:b/>
          <w:sz w:val="22"/>
          <w:szCs w:val="22"/>
        </w:rPr>
      </w:pPr>
      <w:r w:rsidRPr="00CE6C58">
        <w:rPr>
          <w:rFonts w:ascii="Arial" w:hAnsi="Arial" w:cs="Arial"/>
          <w:b/>
          <w:sz w:val="22"/>
          <w:szCs w:val="22"/>
        </w:rPr>
        <w:t xml:space="preserve">Document Availability </w:t>
      </w:r>
    </w:p>
    <w:p w14:paraId="545D654E" w14:textId="77777777" w:rsidR="0020363A" w:rsidRPr="00CE6C58" w:rsidRDefault="000F5593" w:rsidP="000F5593">
      <w:pPr>
        <w:ind w:left="720" w:hanging="720"/>
        <w:jc w:val="both"/>
        <w:rPr>
          <w:rFonts w:ascii="Arial" w:hAnsi="Arial" w:cs="Arial"/>
          <w:b/>
          <w:sz w:val="22"/>
          <w:szCs w:val="22"/>
        </w:rPr>
      </w:pPr>
      <w:r w:rsidRPr="00CE6C58">
        <w:rPr>
          <w:rFonts w:ascii="Arial" w:hAnsi="Arial" w:cs="Arial"/>
          <w:sz w:val="22"/>
          <w:szCs w:val="22"/>
        </w:rPr>
        <w:t>3.2</w:t>
      </w:r>
      <w:r w:rsidRPr="00CE6C58">
        <w:rPr>
          <w:rFonts w:ascii="Arial" w:hAnsi="Arial" w:cs="Arial"/>
          <w:sz w:val="22"/>
          <w:szCs w:val="22"/>
        </w:rPr>
        <w:tab/>
      </w:r>
      <w:r w:rsidR="00E32DE0">
        <w:rPr>
          <w:rFonts w:ascii="Arial" w:hAnsi="Arial" w:cs="Arial"/>
          <w:sz w:val="22"/>
          <w:szCs w:val="22"/>
        </w:rPr>
        <w:t xml:space="preserve">SG01 SG06 </w:t>
      </w:r>
      <w:r w:rsidR="00ED5AC2">
        <w:rPr>
          <w:rFonts w:ascii="Arial" w:hAnsi="Arial" w:cs="Arial"/>
          <w:sz w:val="22"/>
          <w:szCs w:val="22"/>
        </w:rPr>
        <w:t xml:space="preserve">SG07 </w:t>
      </w:r>
      <w:r w:rsidR="00E32DE0">
        <w:rPr>
          <w:rFonts w:ascii="Arial" w:hAnsi="Arial" w:cs="Arial"/>
          <w:sz w:val="22"/>
          <w:szCs w:val="22"/>
        </w:rPr>
        <w:t>and SG13 were</w:t>
      </w:r>
      <w:r w:rsidR="00E32DE0" w:rsidRPr="00CE6C58">
        <w:rPr>
          <w:rFonts w:ascii="Arial" w:hAnsi="Arial" w:cs="Arial"/>
          <w:sz w:val="22"/>
          <w:szCs w:val="22"/>
        </w:rPr>
        <w:t xml:space="preserve"> </w:t>
      </w:r>
      <w:r w:rsidR="0020363A" w:rsidRPr="00CE6C58">
        <w:rPr>
          <w:rFonts w:ascii="Arial" w:hAnsi="Arial" w:cs="Arial"/>
          <w:sz w:val="22"/>
          <w:szCs w:val="22"/>
        </w:rPr>
        <w:t>available to view and download from Falkirk Council’s website</w:t>
      </w:r>
      <w:r w:rsidR="00505FE8" w:rsidRPr="00CE6C58">
        <w:rPr>
          <w:rFonts w:ascii="Arial" w:hAnsi="Arial" w:cs="Arial"/>
          <w:sz w:val="22"/>
          <w:szCs w:val="22"/>
        </w:rPr>
        <w:t>.</w:t>
      </w:r>
      <w:r w:rsidR="00400592" w:rsidRPr="00CE6C58">
        <w:rPr>
          <w:rFonts w:ascii="Arial" w:hAnsi="Arial" w:cs="Arial"/>
          <w:sz w:val="22"/>
          <w:szCs w:val="22"/>
        </w:rPr>
        <w:t xml:space="preserve"> </w:t>
      </w:r>
      <w:r w:rsidR="0020363A" w:rsidRPr="00CE6C58">
        <w:rPr>
          <w:rFonts w:ascii="Arial" w:hAnsi="Arial" w:cs="Arial"/>
          <w:sz w:val="22"/>
          <w:szCs w:val="22"/>
        </w:rPr>
        <w:t xml:space="preserve">A </w:t>
      </w:r>
      <w:r w:rsidR="0078357F" w:rsidRPr="00CE6C58">
        <w:rPr>
          <w:rFonts w:ascii="Arial" w:hAnsi="Arial" w:cs="Arial"/>
          <w:sz w:val="22"/>
          <w:szCs w:val="22"/>
        </w:rPr>
        <w:t xml:space="preserve">dedicated </w:t>
      </w:r>
      <w:r w:rsidR="0020363A" w:rsidRPr="00CE6C58">
        <w:rPr>
          <w:rFonts w:ascii="Arial" w:hAnsi="Arial" w:cs="Arial"/>
          <w:sz w:val="22"/>
          <w:szCs w:val="22"/>
        </w:rPr>
        <w:t xml:space="preserve">webpage for Supplementary </w:t>
      </w:r>
      <w:r w:rsidR="00F13241" w:rsidRPr="00CE6C58">
        <w:rPr>
          <w:rFonts w:ascii="Arial" w:hAnsi="Arial" w:cs="Arial"/>
          <w:sz w:val="22"/>
          <w:szCs w:val="22"/>
        </w:rPr>
        <w:t>Guidance g</w:t>
      </w:r>
      <w:r w:rsidR="00505FE8" w:rsidRPr="00CE6C58">
        <w:rPr>
          <w:rFonts w:ascii="Arial" w:hAnsi="Arial" w:cs="Arial"/>
          <w:sz w:val="22"/>
          <w:szCs w:val="22"/>
        </w:rPr>
        <w:t>ave</w:t>
      </w:r>
      <w:r w:rsidR="00F13241" w:rsidRPr="00CE6C58">
        <w:rPr>
          <w:rFonts w:ascii="Arial" w:hAnsi="Arial" w:cs="Arial"/>
          <w:sz w:val="22"/>
          <w:szCs w:val="22"/>
        </w:rPr>
        <w:t xml:space="preserve"> details of the consultation period and how to submit comments</w:t>
      </w:r>
      <w:r w:rsidR="00752527" w:rsidRPr="00CE6C58">
        <w:rPr>
          <w:rFonts w:ascii="Arial" w:hAnsi="Arial" w:cs="Arial"/>
          <w:sz w:val="22"/>
          <w:szCs w:val="22"/>
        </w:rPr>
        <w:t xml:space="preserve"> by email </w:t>
      </w:r>
      <w:r w:rsidR="00505FE8" w:rsidRPr="00CE6C58">
        <w:rPr>
          <w:rFonts w:ascii="Arial" w:hAnsi="Arial" w:cs="Arial"/>
          <w:sz w:val="22"/>
          <w:szCs w:val="22"/>
        </w:rPr>
        <w:t>(www.falkirk.gov.uk/sg</w:t>
      </w:r>
      <w:r w:rsidR="00F65C68">
        <w:rPr>
          <w:rFonts w:ascii="Arial" w:hAnsi="Arial" w:cs="Arial"/>
          <w:sz w:val="22"/>
          <w:szCs w:val="22"/>
        </w:rPr>
        <w:t>2</w:t>
      </w:r>
      <w:r w:rsidR="00505FE8" w:rsidRPr="00CE6C58">
        <w:rPr>
          <w:rFonts w:ascii="Arial" w:hAnsi="Arial" w:cs="Arial"/>
          <w:sz w:val="22"/>
          <w:szCs w:val="22"/>
        </w:rPr>
        <w:t>).</w:t>
      </w:r>
    </w:p>
    <w:p w14:paraId="1E0447C4" w14:textId="77777777" w:rsidR="00F13241" w:rsidRPr="00CE6C58" w:rsidRDefault="00F13241" w:rsidP="00AD1966">
      <w:pPr>
        <w:jc w:val="both"/>
        <w:rPr>
          <w:rFonts w:ascii="Arial" w:hAnsi="Arial" w:cs="Arial"/>
          <w:sz w:val="22"/>
          <w:szCs w:val="22"/>
        </w:rPr>
      </w:pPr>
    </w:p>
    <w:p w14:paraId="2541E94B" w14:textId="77777777" w:rsidR="00AD1966" w:rsidRPr="00CE6C58" w:rsidRDefault="000F5593" w:rsidP="00F65C68">
      <w:pPr>
        <w:ind w:left="720" w:hanging="720"/>
        <w:rPr>
          <w:rFonts w:ascii="Arial" w:hAnsi="Arial" w:cs="Arial"/>
          <w:sz w:val="22"/>
          <w:szCs w:val="22"/>
        </w:rPr>
      </w:pPr>
      <w:r w:rsidRPr="00CE6C58">
        <w:rPr>
          <w:rFonts w:ascii="Arial" w:hAnsi="Arial" w:cs="Arial"/>
          <w:sz w:val="22"/>
          <w:szCs w:val="22"/>
        </w:rPr>
        <w:t>3.3</w:t>
      </w:r>
      <w:r w:rsidRPr="00CE6C58">
        <w:rPr>
          <w:rFonts w:ascii="Arial" w:hAnsi="Arial" w:cs="Arial"/>
          <w:sz w:val="22"/>
          <w:szCs w:val="22"/>
        </w:rPr>
        <w:tab/>
      </w:r>
      <w:r w:rsidR="0078357F" w:rsidRPr="00CE6C58">
        <w:rPr>
          <w:rFonts w:ascii="Arial" w:hAnsi="Arial" w:cs="Arial"/>
          <w:sz w:val="22"/>
          <w:szCs w:val="22"/>
        </w:rPr>
        <w:t xml:space="preserve">Due to restrictions imposed by COVID-19 we were unable to make hard copies of </w:t>
      </w:r>
      <w:r w:rsidR="00B87977" w:rsidRPr="00B87977">
        <w:rPr>
          <w:rFonts w:ascii="Arial" w:hAnsi="Arial" w:cs="Arial"/>
          <w:sz w:val="22"/>
          <w:szCs w:val="22"/>
        </w:rPr>
        <w:t xml:space="preserve">SG01 SG06 </w:t>
      </w:r>
      <w:r w:rsidR="00C15E4A">
        <w:rPr>
          <w:rFonts w:ascii="Arial" w:hAnsi="Arial" w:cs="Arial"/>
          <w:sz w:val="22"/>
          <w:szCs w:val="22"/>
        </w:rPr>
        <w:t xml:space="preserve">SG07 </w:t>
      </w:r>
      <w:r w:rsidR="00B87977" w:rsidRPr="00B87977">
        <w:rPr>
          <w:rFonts w:ascii="Arial" w:hAnsi="Arial" w:cs="Arial"/>
          <w:sz w:val="22"/>
          <w:szCs w:val="22"/>
        </w:rPr>
        <w:t>and SG13</w:t>
      </w:r>
      <w:r w:rsidR="0078357F" w:rsidRPr="00CE6C58">
        <w:rPr>
          <w:rFonts w:ascii="Arial" w:hAnsi="Arial" w:cs="Arial"/>
          <w:sz w:val="22"/>
          <w:szCs w:val="22"/>
        </w:rPr>
        <w:t xml:space="preserve"> available at the usual deposit locations</w:t>
      </w:r>
      <w:r w:rsidR="00F65C68">
        <w:rPr>
          <w:rFonts w:ascii="Arial" w:hAnsi="Arial" w:cs="Arial"/>
          <w:sz w:val="22"/>
          <w:szCs w:val="22"/>
        </w:rPr>
        <w:t xml:space="preserve"> </w:t>
      </w:r>
      <w:r w:rsidR="00F65C68" w:rsidRPr="00F65C68">
        <w:rPr>
          <w:rFonts w:ascii="Arial" w:hAnsi="Arial" w:cs="Arial"/>
          <w:sz w:val="22"/>
          <w:szCs w:val="22"/>
          <w:lang w:val="en"/>
        </w:rPr>
        <w:t>(Abbotsford House, Council Libraries and Advice and Support Hubs)</w:t>
      </w:r>
      <w:r w:rsidR="00505FE8" w:rsidRPr="00F65C68">
        <w:rPr>
          <w:rFonts w:ascii="Arial" w:hAnsi="Arial" w:cs="Arial"/>
          <w:sz w:val="22"/>
          <w:szCs w:val="22"/>
        </w:rPr>
        <w:t>.</w:t>
      </w:r>
      <w:r w:rsidR="0078357F" w:rsidRPr="00CE6C58">
        <w:rPr>
          <w:rFonts w:ascii="Arial" w:hAnsi="Arial" w:cs="Arial"/>
          <w:sz w:val="22"/>
          <w:szCs w:val="22"/>
        </w:rPr>
        <w:t xml:space="preserve"> </w:t>
      </w:r>
    </w:p>
    <w:p w14:paraId="6C9FB9D6" w14:textId="77777777" w:rsidR="009037C3" w:rsidRDefault="009037C3" w:rsidP="003E51E4">
      <w:pPr>
        <w:jc w:val="both"/>
        <w:rPr>
          <w:rFonts w:ascii="Arial" w:hAnsi="Arial" w:cs="Arial"/>
          <w:b/>
          <w:sz w:val="22"/>
          <w:szCs w:val="22"/>
        </w:rPr>
      </w:pPr>
    </w:p>
    <w:p w14:paraId="46A92D8B" w14:textId="77777777" w:rsidR="00400592" w:rsidRPr="00CE6C58" w:rsidRDefault="00400592" w:rsidP="000735EA">
      <w:pPr>
        <w:ind w:firstLine="720"/>
        <w:jc w:val="both"/>
        <w:rPr>
          <w:rFonts w:ascii="Arial" w:hAnsi="Arial" w:cs="Arial"/>
          <w:b/>
          <w:sz w:val="22"/>
          <w:szCs w:val="22"/>
        </w:rPr>
      </w:pPr>
      <w:r w:rsidRPr="00CE6C58">
        <w:rPr>
          <w:rFonts w:ascii="Arial" w:hAnsi="Arial" w:cs="Arial"/>
          <w:b/>
          <w:sz w:val="22"/>
          <w:szCs w:val="22"/>
        </w:rPr>
        <w:t xml:space="preserve">Letter </w:t>
      </w:r>
      <w:r w:rsidR="00E52E22" w:rsidRPr="00CE6C58">
        <w:rPr>
          <w:rFonts w:ascii="Arial" w:hAnsi="Arial" w:cs="Arial"/>
          <w:b/>
          <w:sz w:val="22"/>
          <w:szCs w:val="22"/>
        </w:rPr>
        <w:t>to Interested Parties</w:t>
      </w:r>
    </w:p>
    <w:p w14:paraId="63450F6D" w14:textId="77777777" w:rsidR="00400592" w:rsidRPr="00CE6C58" w:rsidRDefault="000F5593" w:rsidP="000F5593">
      <w:pPr>
        <w:ind w:left="720" w:hanging="720"/>
        <w:jc w:val="both"/>
        <w:rPr>
          <w:rFonts w:ascii="Arial" w:hAnsi="Arial" w:cs="Arial"/>
          <w:sz w:val="22"/>
          <w:szCs w:val="22"/>
        </w:rPr>
      </w:pPr>
      <w:r w:rsidRPr="00CE6C58">
        <w:rPr>
          <w:rFonts w:ascii="Arial" w:hAnsi="Arial" w:cs="Arial"/>
          <w:sz w:val="22"/>
          <w:szCs w:val="22"/>
        </w:rPr>
        <w:t>3.4</w:t>
      </w:r>
      <w:r w:rsidRPr="00CE6C58">
        <w:rPr>
          <w:rFonts w:ascii="Arial" w:hAnsi="Arial" w:cs="Arial"/>
          <w:sz w:val="22"/>
          <w:szCs w:val="22"/>
        </w:rPr>
        <w:tab/>
      </w:r>
      <w:r w:rsidR="00B4450E">
        <w:rPr>
          <w:rFonts w:ascii="Arial" w:hAnsi="Arial" w:cs="Arial"/>
          <w:sz w:val="22"/>
          <w:szCs w:val="22"/>
        </w:rPr>
        <w:t>Over 900</w:t>
      </w:r>
      <w:r w:rsidR="00400592" w:rsidRPr="00CE6C58">
        <w:rPr>
          <w:rFonts w:ascii="Arial" w:hAnsi="Arial" w:cs="Arial"/>
          <w:sz w:val="22"/>
          <w:szCs w:val="22"/>
        </w:rPr>
        <w:t xml:space="preserve"> key agencies, organisations and individuals were notified by email of the commencement of the consultation process and the availability of </w:t>
      </w:r>
      <w:r w:rsidR="00B87977" w:rsidRPr="00B87977">
        <w:rPr>
          <w:rFonts w:ascii="Arial" w:hAnsi="Arial" w:cs="Arial"/>
          <w:sz w:val="22"/>
          <w:szCs w:val="22"/>
        </w:rPr>
        <w:t xml:space="preserve">SG01 SG06 </w:t>
      </w:r>
      <w:r w:rsidR="00ED5AC2">
        <w:rPr>
          <w:rFonts w:ascii="Arial" w:hAnsi="Arial" w:cs="Arial"/>
          <w:sz w:val="22"/>
          <w:szCs w:val="22"/>
        </w:rPr>
        <w:t xml:space="preserve">SG07 </w:t>
      </w:r>
      <w:r w:rsidR="00B87977" w:rsidRPr="00B87977">
        <w:rPr>
          <w:rFonts w:ascii="Arial" w:hAnsi="Arial" w:cs="Arial"/>
          <w:sz w:val="22"/>
          <w:szCs w:val="22"/>
        </w:rPr>
        <w:t>and SG13</w:t>
      </w:r>
      <w:r w:rsidR="00400592" w:rsidRPr="00CE6C58">
        <w:rPr>
          <w:rFonts w:ascii="Arial" w:hAnsi="Arial" w:cs="Arial"/>
          <w:sz w:val="22"/>
          <w:szCs w:val="22"/>
        </w:rPr>
        <w:t xml:space="preserve"> on the Council website. </w:t>
      </w:r>
    </w:p>
    <w:p w14:paraId="6B6DB1F2" w14:textId="77777777" w:rsidR="00AD1966" w:rsidRPr="00CE6C58" w:rsidRDefault="00AD1966" w:rsidP="00AD1966">
      <w:pPr>
        <w:jc w:val="both"/>
        <w:rPr>
          <w:rFonts w:ascii="Arial" w:hAnsi="Arial" w:cs="Arial"/>
          <w:sz w:val="22"/>
          <w:szCs w:val="22"/>
        </w:rPr>
      </w:pPr>
    </w:p>
    <w:p w14:paraId="6A507996" w14:textId="77777777" w:rsidR="00F13241" w:rsidRPr="00CE6C58" w:rsidRDefault="00F13241" w:rsidP="000F5593">
      <w:pPr>
        <w:ind w:firstLine="720"/>
        <w:jc w:val="both"/>
        <w:rPr>
          <w:rFonts w:ascii="Arial" w:hAnsi="Arial" w:cs="Arial"/>
          <w:b/>
          <w:sz w:val="22"/>
          <w:szCs w:val="22"/>
        </w:rPr>
      </w:pPr>
      <w:r w:rsidRPr="00CE6C58">
        <w:rPr>
          <w:rFonts w:ascii="Arial" w:hAnsi="Arial" w:cs="Arial"/>
          <w:b/>
          <w:sz w:val="22"/>
          <w:szCs w:val="22"/>
        </w:rPr>
        <w:t>Consultation Period</w:t>
      </w:r>
    </w:p>
    <w:p w14:paraId="2C556641" w14:textId="77777777" w:rsidR="00F13241" w:rsidRPr="00CE6C58" w:rsidRDefault="009A4EF9" w:rsidP="00D87B92">
      <w:pPr>
        <w:ind w:left="720" w:hanging="720"/>
        <w:jc w:val="both"/>
        <w:rPr>
          <w:rFonts w:ascii="Arial" w:hAnsi="Arial" w:cs="Arial"/>
          <w:sz w:val="22"/>
          <w:szCs w:val="22"/>
          <w:lang w:val="en"/>
        </w:rPr>
      </w:pPr>
      <w:r w:rsidRPr="00CE6C58">
        <w:rPr>
          <w:rFonts w:ascii="Arial" w:hAnsi="Arial" w:cs="Arial"/>
          <w:sz w:val="22"/>
          <w:szCs w:val="22"/>
          <w:lang w:val="en"/>
        </w:rPr>
        <w:t>3.5</w:t>
      </w:r>
      <w:r w:rsidRPr="00CE6C58">
        <w:rPr>
          <w:rFonts w:ascii="Arial" w:hAnsi="Arial" w:cs="Arial"/>
          <w:sz w:val="22"/>
          <w:szCs w:val="22"/>
          <w:lang w:val="en"/>
        </w:rPr>
        <w:tab/>
      </w:r>
      <w:r w:rsidRPr="00B4450E">
        <w:rPr>
          <w:rFonts w:ascii="Arial" w:hAnsi="Arial" w:cs="Arial"/>
          <w:sz w:val="22"/>
          <w:szCs w:val="22"/>
          <w:lang w:val="en"/>
        </w:rPr>
        <w:t xml:space="preserve">Comments were invited </w:t>
      </w:r>
      <w:r w:rsidR="00D87B92" w:rsidRPr="00B4450E">
        <w:rPr>
          <w:rFonts w:ascii="Arial" w:hAnsi="Arial" w:cs="Arial"/>
          <w:sz w:val="22"/>
          <w:szCs w:val="22"/>
          <w:lang w:val="en"/>
        </w:rPr>
        <w:t xml:space="preserve">for 6 weeks </w:t>
      </w:r>
      <w:r w:rsidRPr="00B4450E">
        <w:rPr>
          <w:rFonts w:ascii="Arial" w:hAnsi="Arial" w:cs="Arial"/>
          <w:sz w:val="22"/>
          <w:szCs w:val="22"/>
          <w:lang w:val="en"/>
        </w:rPr>
        <w:t xml:space="preserve">from </w:t>
      </w:r>
      <w:r w:rsidR="00B4450E" w:rsidRPr="00B4450E">
        <w:rPr>
          <w:rFonts w:ascii="Arial" w:hAnsi="Arial" w:cs="Arial"/>
          <w:sz w:val="22"/>
          <w:szCs w:val="22"/>
          <w:lang w:val="en"/>
        </w:rPr>
        <w:t>Friday 15th October and Friday 26th November 202</w:t>
      </w:r>
      <w:r w:rsidR="00EF1F84">
        <w:rPr>
          <w:rFonts w:ascii="Arial" w:hAnsi="Arial" w:cs="Arial"/>
          <w:sz w:val="22"/>
          <w:szCs w:val="22"/>
          <w:lang w:val="en"/>
        </w:rPr>
        <w:t>0</w:t>
      </w:r>
      <w:r w:rsidR="00D87B92" w:rsidRPr="00B4450E">
        <w:rPr>
          <w:rFonts w:ascii="Arial" w:hAnsi="Arial" w:cs="Arial"/>
          <w:sz w:val="22"/>
          <w:szCs w:val="22"/>
          <w:lang w:val="en"/>
        </w:rPr>
        <w:t>.</w:t>
      </w:r>
      <w:r w:rsidR="00D87B92" w:rsidRPr="00CE6C58">
        <w:rPr>
          <w:rFonts w:ascii="Arial" w:hAnsi="Arial" w:cs="Arial"/>
          <w:sz w:val="22"/>
          <w:szCs w:val="22"/>
          <w:lang w:val="en"/>
        </w:rPr>
        <w:t xml:space="preserve"> </w:t>
      </w:r>
      <w:r w:rsidRPr="00CE6C58">
        <w:rPr>
          <w:rFonts w:ascii="Arial" w:hAnsi="Arial" w:cs="Arial"/>
          <w:sz w:val="22"/>
          <w:szCs w:val="22"/>
          <w:lang w:val="en"/>
        </w:rPr>
        <w:t xml:space="preserve">All comments received during that period </w:t>
      </w:r>
      <w:r w:rsidR="00CE6C58">
        <w:rPr>
          <w:rFonts w:ascii="Arial" w:hAnsi="Arial" w:cs="Arial"/>
          <w:sz w:val="22"/>
          <w:szCs w:val="22"/>
          <w:lang w:val="en"/>
        </w:rPr>
        <w:t>have been</w:t>
      </w:r>
      <w:r w:rsidRPr="00CE6C58">
        <w:rPr>
          <w:rFonts w:ascii="Arial" w:hAnsi="Arial" w:cs="Arial"/>
          <w:sz w:val="22"/>
          <w:szCs w:val="22"/>
          <w:lang w:val="en"/>
        </w:rPr>
        <w:t xml:space="preserve"> </w:t>
      </w:r>
      <w:proofErr w:type="gramStart"/>
      <w:r w:rsidRPr="00CE6C58">
        <w:rPr>
          <w:rFonts w:ascii="Arial" w:hAnsi="Arial" w:cs="Arial"/>
          <w:sz w:val="22"/>
          <w:szCs w:val="22"/>
          <w:lang w:val="en"/>
        </w:rPr>
        <w:t>taken into account</w:t>
      </w:r>
      <w:proofErr w:type="gramEnd"/>
      <w:r w:rsidRPr="00CE6C58">
        <w:rPr>
          <w:rFonts w:ascii="Arial" w:hAnsi="Arial" w:cs="Arial"/>
          <w:sz w:val="22"/>
          <w:szCs w:val="22"/>
          <w:lang w:val="en"/>
        </w:rPr>
        <w:t xml:space="preserve"> in </w:t>
      </w:r>
      <w:proofErr w:type="spellStart"/>
      <w:r w:rsidRPr="00CE6C58">
        <w:rPr>
          <w:rFonts w:ascii="Arial" w:hAnsi="Arial" w:cs="Arial"/>
          <w:sz w:val="22"/>
          <w:szCs w:val="22"/>
          <w:lang w:val="en"/>
        </w:rPr>
        <w:t>finalising</w:t>
      </w:r>
      <w:proofErr w:type="spellEnd"/>
      <w:r w:rsidRPr="00CE6C58">
        <w:rPr>
          <w:rFonts w:ascii="Arial" w:hAnsi="Arial" w:cs="Arial"/>
          <w:sz w:val="22"/>
          <w:szCs w:val="22"/>
          <w:lang w:val="en"/>
        </w:rPr>
        <w:t xml:space="preserve"> </w:t>
      </w:r>
      <w:r w:rsidR="00B87977" w:rsidRPr="00B87977">
        <w:rPr>
          <w:rFonts w:ascii="Arial" w:hAnsi="Arial" w:cs="Arial"/>
          <w:sz w:val="22"/>
          <w:szCs w:val="22"/>
        </w:rPr>
        <w:t xml:space="preserve">SG01 SG06 </w:t>
      </w:r>
      <w:r w:rsidR="00ED5AC2">
        <w:rPr>
          <w:rFonts w:ascii="Arial" w:hAnsi="Arial" w:cs="Arial"/>
          <w:sz w:val="22"/>
          <w:szCs w:val="22"/>
        </w:rPr>
        <w:t xml:space="preserve">SG07 </w:t>
      </w:r>
      <w:r w:rsidR="00B87977" w:rsidRPr="00B87977">
        <w:rPr>
          <w:rFonts w:ascii="Arial" w:hAnsi="Arial" w:cs="Arial"/>
          <w:sz w:val="22"/>
          <w:szCs w:val="22"/>
        </w:rPr>
        <w:t>and SG13</w:t>
      </w:r>
      <w:r w:rsidRPr="00CE6C58">
        <w:rPr>
          <w:rFonts w:ascii="Arial" w:hAnsi="Arial" w:cs="Arial"/>
          <w:sz w:val="22"/>
          <w:szCs w:val="22"/>
          <w:lang w:val="en"/>
        </w:rPr>
        <w:t>.</w:t>
      </w:r>
    </w:p>
    <w:p w14:paraId="6340A1A1" w14:textId="77777777" w:rsidR="009A4EF9" w:rsidRPr="00CE6C58" w:rsidRDefault="009A4EF9" w:rsidP="00AD1966">
      <w:pPr>
        <w:jc w:val="both"/>
        <w:rPr>
          <w:rFonts w:ascii="Arial" w:hAnsi="Arial" w:cs="Arial"/>
          <w:sz w:val="22"/>
          <w:szCs w:val="22"/>
        </w:rPr>
      </w:pPr>
    </w:p>
    <w:p w14:paraId="41858B69" w14:textId="77777777" w:rsidR="00AD1966" w:rsidRPr="00CE6C58" w:rsidRDefault="00DB437F" w:rsidP="00DB437F">
      <w:pPr>
        <w:jc w:val="both"/>
        <w:rPr>
          <w:rFonts w:ascii="Arial" w:hAnsi="Arial" w:cs="Arial"/>
          <w:b/>
          <w:sz w:val="22"/>
          <w:szCs w:val="22"/>
        </w:rPr>
      </w:pPr>
      <w:r w:rsidRPr="00CE6C58">
        <w:rPr>
          <w:rFonts w:ascii="Arial" w:hAnsi="Arial" w:cs="Arial"/>
          <w:b/>
          <w:sz w:val="22"/>
          <w:szCs w:val="22"/>
        </w:rPr>
        <w:t>4.</w:t>
      </w:r>
      <w:r w:rsidRPr="00CE6C58">
        <w:rPr>
          <w:rFonts w:ascii="Arial" w:hAnsi="Arial" w:cs="Arial"/>
          <w:b/>
          <w:sz w:val="22"/>
          <w:szCs w:val="22"/>
        </w:rPr>
        <w:tab/>
      </w:r>
      <w:r w:rsidR="00752527" w:rsidRPr="00CE6C58">
        <w:rPr>
          <w:rFonts w:ascii="Arial" w:hAnsi="Arial" w:cs="Arial"/>
          <w:b/>
          <w:sz w:val="22"/>
          <w:szCs w:val="22"/>
        </w:rPr>
        <w:t xml:space="preserve">Comments </w:t>
      </w:r>
      <w:r w:rsidR="00170C64" w:rsidRPr="00CE6C58">
        <w:rPr>
          <w:rFonts w:ascii="Arial" w:hAnsi="Arial" w:cs="Arial"/>
          <w:b/>
          <w:sz w:val="22"/>
          <w:szCs w:val="22"/>
        </w:rPr>
        <w:t xml:space="preserve">Received </w:t>
      </w:r>
    </w:p>
    <w:p w14:paraId="3B420087" w14:textId="77777777" w:rsidR="00DB437F" w:rsidRPr="00CE6C58" w:rsidRDefault="00DB437F" w:rsidP="00DB437F">
      <w:pPr>
        <w:jc w:val="both"/>
        <w:rPr>
          <w:rFonts w:ascii="Arial" w:hAnsi="Arial" w:cs="Arial"/>
          <w:b/>
          <w:sz w:val="22"/>
          <w:szCs w:val="22"/>
        </w:rPr>
      </w:pPr>
    </w:p>
    <w:p w14:paraId="6E1B1C86" w14:textId="77777777" w:rsidR="00F1649D" w:rsidRPr="00903D1C" w:rsidRDefault="0066069A" w:rsidP="0066069A">
      <w:pPr>
        <w:pStyle w:val="StyleStyleNumberedParagraphBoldNotBold"/>
        <w:tabs>
          <w:tab w:val="clear" w:pos="709"/>
        </w:tabs>
        <w:rPr>
          <w:rFonts w:ascii="Arial" w:eastAsia="Times New Roman" w:hAnsi="Arial" w:cs="Arial"/>
        </w:rPr>
      </w:pPr>
      <w:r>
        <w:rPr>
          <w:rFonts w:ascii="Arial" w:eastAsia="Times New Roman" w:hAnsi="Arial" w:cs="Arial"/>
        </w:rPr>
        <w:t>4.1</w:t>
      </w:r>
      <w:r>
        <w:rPr>
          <w:rFonts w:ascii="Arial" w:eastAsia="Times New Roman" w:hAnsi="Arial" w:cs="Arial"/>
        </w:rPr>
        <w:tab/>
      </w:r>
      <w:r w:rsidR="00F1649D" w:rsidRPr="00903D1C">
        <w:rPr>
          <w:rFonts w:ascii="Arial" w:eastAsia="Times New Roman" w:hAnsi="Arial" w:cs="Arial"/>
        </w:rPr>
        <w:t xml:space="preserve">Over the </w:t>
      </w:r>
      <w:proofErr w:type="gramStart"/>
      <w:r w:rsidR="00F1649D" w:rsidRPr="00903D1C">
        <w:rPr>
          <w:rFonts w:ascii="Arial" w:eastAsia="Times New Roman" w:hAnsi="Arial" w:cs="Arial"/>
        </w:rPr>
        <w:t>6 week</w:t>
      </w:r>
      <w:proofErr w:type="gramEnd"/>
      <w:r w:rsidR="00F1649D" w:rsidRPr="00903D1C">
        <w:rPr>
          <w:rFonts w:ascii="Arial" w:eastAsia="Times New Roman" w:hAnsi="Arial" w:cs="Arial"/>
        </w:rPr>
        <w:t xml:space="preserve"> period, responses were</w:t>
      </w:r>
      <w:r w:rsidR="003E2496">
        <w:rPr>
          <w:rFonts w:ascii="Arial" w:eastAsia="Times New Roman" w:hAnsi="Arial" w:cs="Arial"/>
        </w:rPr>
        <w:t xml:space="preserve"> received from the following seven</w:t>
      </w:r>
      <w:r w:rsidR="00F1649D" w:rsidRPr="00903D1C">
        <w:rPr>
          <w:rFonts w:ascii="Arial" w:eastAsia="Times New Roman" w:hAnsi="Arial" w:cs="Arial"/>
        </w:rPr>
        <w:t>teen individuals/organisations:</w:t>
      </w:r>
    </w:p>
    <w:p w14:paraId="21222696" w14:textId="77777777" w:rsidR="00F1649D" w:rsidRPr="00903D1C" w:rsidRDefault="00F1649D" w:rsidP="00F1649D">
      <w:pPr>
        <w:pStyle w:val="StyleStyleNumberedParagraphBoldNotBold"/>
        <w:tabs>
          <w:tab w:val="clear" w:pos="709"/>
        </w:tabs>
        <w:ind w:left="0" w:firstLine="0"/>
        <w:rPr>
          <w:rFonts w:ascii="Arial" w:eastAsia="Times New Roman" w:hAnsi="Arial" w:cs="Arial"/>
        </w:rPr>
      </w:pPr>
    </w:p>
    <w:p w14:paraId="362EFD2B" w14:textId="77777777" w:rsidR="00F1649D" w:rsidRPr="00903D1C" w:rsidRDefault="00F1649D" w:rsidP="00F1649D">
      <w:pPr>
        <w:pStyle w:val="ListParagraph"/>
        <w:widowControl/>
        <w:numPr>
          <w:ilvl w:val="0"/>
          <w:numId w:val="21"/>
        </w:numPr>
        <w:autoSpaceDE/>
        <w:autoSpaceDN/>
        <w:adjustRightInd/>
        <w:contextualSpacing/>
        <w:rPr>
          <w:rFonts w:ascii="Arial" w:hAnsi="Arial" w:cs="Arial"/>
          <w:sz w:val="22"/>
          <w:szCs w:val="22"/>
        </w:rPr>
      </w:pPr>
      <w:r w:rsidRPr="00903D1C">
        <w:rPr>
          <w:rFonts w:ascii="Arial" w:hAnsi="Arial" w:cs="Arial"/>
          <w:sz w:val="22"/>
          <w:szCs w:val="22"/>
        </w:rPr>
        <w:t>Yvonne McBlain (SG01)</w:t>
      </w:r>
    </w:p>
    <w:p w14:paraId="43B328B2" w14:textId="77777777" w:rsidR="00F1649D" w:rsidRPr="00903D1C" w:rsidRDefault="00F1649D" w:rsidP="00F1649D">
      <w:pPr>
        <w:pStyle w:val="ListParagraph"/>
        <w:widowControl/>
        <w:numPr>
          <w:ilvl w:val="0"/>
          <w:numId w:val="21"/>
        </w:numPr>
        <w:autoSpaceDE/>
        <w:autoSpaceDN/>
        <w:adjustRightInd/>
        <w:contextualSpacing/>
        <w:rPr>
          <w:rFonts w:ascii="Arial" w:hAnsi="Arial" w:cs="Arial"/>
          <w:sz w:val="22"/>
          <w:szCs w:val="22"/>
        </w:rPr>
      </w:pPr>
      <w:r w:rsidRPr="00903D1C">
        <w:rPr>
          <w:rFonts w:ascii="Arial" w:hAnsi="Arial" w:cs="Arial"/>
          <w:sz w:val="22"/>
          <w:szCs w:val="22"/>
        </w:rPr>
        <w:lastRenderedPageBreak/>
        <w:t>Scottish Badgers (SG01</w:t>
      </w:r>
      <w:r w:rsidR="003E2496">
        <w:rPr>
          <w:rFonts w:ascii="Arial" w:hAnsi="Arial" w:cs="Arial"/>
          <w:sz w:val="22"/>
          <w:szCs w:val="22"/>
        </w:rPr>
        <w:t>, SG07</w:t>
      </w:r>
      <w:r w:rsidRPr="00903D1C">
        <w:rPr>
          <w:rFonts w:ascii="Arial" w:hAnsi="Arial" w:cs="Arial"/>
          <w:sz w:val="22"/>
          <w:szCs w:val="22"/>
        </w:rPr>
        <w:t>)</w:t>
      </w:r>
    </w:p>
    <w:p w14:paraId="4B2D18D8" w14:textId="77777777" w:rsidR="00F1649D" w:rsidRPr="00903D1C" w:rsidRDefault="00F1649D" w:rsidP="00F1649D">
      <w:pPr>
        <w:pStyle w:val="StyleStyleNumberedParagraphBoldNotBold"/>
        <w:numPr>
          <w:ilvl w:val="0"/>
          <w:numId w:val="21"/>
        </w:numPr>
        <w:rPr>
          <w:rFonts w:ascii="Arial" w:hAnsi="Arial" w:cs="Arial"/>
        </w:rPr>
      </w:pPr>
      <w:r w:rsidRPr="00903D1C">
        <w:rPr>
          <w:rFonts w:ascii="Arial" w:hAnsi="Arial" w:cs="Arial"/>
        </w:rPr>
        <w:t>Sandy Paterson (</w:t>
      </w:r>
      <w:r w:rsidRPr="00903D1C">
        <w:rPr>
          <w:rFonts w:ascii="Arial" w:eastAsia="Times New Roman" w:hAnsi="Arial" w:cs="Arial"/>
        </w:rPr>
        <w:t>SG01</w:t>
      </w:r>
      <w:r w:rsidR="003E2496">
        <w:rPr>
          <w:rFonts w:ascii="Arial" w:eastAsia="Times New Roman" w:hAnsi="Arial" w:cs="Arial"/>
        </w:rPr>
        <w:t>, SG07</w:t>
      </w:r>
      <w:r w:rsidRPr="00903D1C">
        <w:rPr>
          <w:rFonts w:ascii="Arial" w:eastAsia="Times New Roman" w:hAnsi="Arial" w:cs="Arial"/>
        </w:rPr>
        <w:t>)</w:t>
      </w:r>
    </w:p>
    <w:p w14:paraId="1C1EEAB1" w14:textId="77777777" w:rsidR="00F1649D" w:rsidRPr="00903D1C" w:rsidRDefault="00F1649D" w:rsidP="00F1649D">
      <w:pPr>
        <w:pStyle w:val="StyleStyleNumberedParagraphBoldNotBold"/>
        <w:numPr>
          <w:ilvl w:val="0"/>
          <w:numId w:val="21"/>
        </w:numPr>
        <w:rPr>
          <w:rFonts w:ascii="Arial" w:hAnsi="Arial" w:cs="Arial"/>
        </w:rPr>
      </w:pPr>
      <w:r w:rsidRPr="00903D1C">
        <w:rPr>
          <w:rFonts w:ascii="Arial" w:hAnsi="Arial" w:cs="Arial"/>
        </w:rPr>
        <w:t>Transport Scotland (</w:t>
      </w:r>
      <w:r w:rsidRPr="00903D1C">
        <w:rPr>
          <w:rFonts w:ascii="Arial" w:eastAsia="Times New Roman" w:hAnsi="Arial" w:cs="Arial"/>
        </w:rPr>
        <w:t>SG01, SG13)</w:t>
      </w:r>
    </w:p>
    <w:p w14:paraId="691E4211" w14:textId="77777777" w:rsidR="00F1649D" w:rsidRPr="00903D1C" w:rsidRDefault="00F1649D" w:rsidP="00F1649D">
      <w:pPr>
        <w:pStyle w:val="StyleStyleNumberedParagraphBoldNotBold"/>
        <w:numPr>
          <w:ilvl w:val="0"/>
          <w:numId w:val="21"/>
        </w:numPr>
        <w:rPr>
          <w:rFonts w:ascii="Arial" w:hAnsi="Arial" w:cs="Arial"/>
          <w:color w:val="000000"/>
        </w:rPr>
      </w:pPr>
      <w:r w:rsidRPr="00903D1C">
        <w:rPr>
          <w:rFonts w:ascii="Arial" w:hAnsi="Arial" w:cs="Arial"/>
          <w:color w:val="000000"/>
        </w:rPr>
        <w:t xml:space="preserve">NatureScot </w:t>
      </w:r>
      <w:r w:rsidRPr="00903D1C">
        <w:rPr>
          <w:rFonts w:ascii="Arial" w:hAnsi="Arial" w:cs="Arial"/>
        </w:rPr>
        <w:t>(</w:t>
      </w:r>
      <w:r w:rsidRPr="00903D1C">
        <w:rPr>
          <w:rFonts w:ascii="Arial" w:eastAsia="Times New Roman" w:hAnsi="Arial" w:cs="Arial"/>
        </w:rPr>
        <w:t>SG01</w:t>
      </w:r>
      <w:r w:rsidR="003E2496">
        <w:rPr>
          <w:rFonts w:ascii="Arial" w:eastAsia="Times New Roman" w:hAnsi="Arial" w:cs="Arial"/>
        </w:rPr>
        <w:t>, SG07</w:t>
      </w:r>
      <w:r w:rsidRPr="00903D1C">
        <w:rPr>
          <w:rFonts w:ascii="Arial" w:eastAsia="Times New Roman" w:hAnsi="Arial" w:cs="Arial"/>
        </w:rPr>
        <w:t>)</w:t>
      </w:r>
    </w:p>
    <w:p w14:paraId="48D9881A" w14:textId="77777777" w:rsidR="00F1649D" w:rsidRPr="00903D1C" w:rsidRDefault="00F1649D" w:rsidP="00F1649D">
      <w:pPr>
        <w:pStyle w:val="StyleStyleNumberedParagraphBoldNotBold"/>
        <w:numPr>
          <w:ilvl w:val="0"/>
          <w:numId w:val="21"/>
        </w:numPr>
        <w:rPr>
          <w:rFonts w:ascii="Arial" w:hAnsi="Arial" w:cs="Arial"/>
        </w:rPr>
      </w:pPr>
      <w:r w:rsidRPr="00903D1C">
        <w:rPr>
          <w:rFonts w:ascii="Arial" w:hAnsi="Arial" w:cs="Arial"/>
        </w:rPr>
        <w:t>SEPA (</w:t>
      </w:r>
      <w:r w:rsidRPr="00903D1C">
        <w:rPr>
          <w:rFonts w:ascii="Arial" w:eastAsia="Times New Roman" w:hAnsi="Arial" w:cs="Arial"/>
        </w:rPr>
        <w:t xml:space="preserve">SG01, </w:t>
      </w:r>
      <w:r w:rsidR="003E2496">
        <w:rPr>
          <w:rFonts w:ascii="Arial" w:eastAsia="Times New Roman" w:hAnsi="Arial" w:cs="Arial"/>
        </w:rPr>
        <w:t xml:space="preserve">SG07, </w:t>
      </w:r>
      <w:r w:rsidRPr="00903D1C">
        <w:rPr>
          <w:rFonts w:ascii="Arial" w:eastAsia="Times New Roman" w:hAnsi="Arial" w:cs="Arial"/>
        </w:rPr>
        <w:t>SG13)</w:t>
      </w:r>
    </w:p>
    <w:p w14:paraId="5C4725EF" w14:textId="77777777" w:rsidR="00F1649D" w:rsidRPr="00903D1C" w:rsidRDefault="00F1649D" w:rsidP="00F1649D">
      <w:pPr>
        <w:pStyle w:val="StyleStyleNumberedParagraphBoldNotBold"/>
        <w:numPr>
          <w:ilvl w:val="0"/>
          <w:numId w:val="21"/>
        </w:numPr>
        <w:rPr>
          <w:rFonts w:ascii="Arial" w:hAnsi="Arial" w:cs="Arial"/>
        </w:rPr>
      </w:pPr>
      <w:r w:rsidRPr="00903D1C">
        <w:rPr>
          <w:rFonts w:ascii="Arial" w:hAnsi="Arial" w:cs="Arial"/>
        </w:rPr>
        <w:t>Scottish Water (</w:t>
      </w:r>
      <w:r w:rsidRPr="00903D1C">
        <w:rPr>
          <w:rFonts w:ascii="Arial" w:eastAsia="Times New Roman" w:hAnsi="Arial" w:cs="Arial"/>
        </w:rPr>
        <w:t>SG</w:t>
      </w:r>
      <w:proofErr w:type="gramStart"/>
      <w:r w:rsidRPr="00903D1C">
        <w:rPr>
          <w:rFonts w:ascii="Arial" w:eastAsia="Times New Roman" w:hAnsi="Arial" w:cs="Arial"/>
        </w:rPr>
        <w:t>01,SG</w:t>
      </w:r>
      <w:proofErr w:type="gramEnd"/>
      <w:r w:rsidRPr="00903D1C">
        <w:rPr>
          <w:rFonts w:ascii="Arial" w:eastAsia="Times New Roman" w:hAnsi="Arial" w:cs="Arial"/>
        </w:rPr>
        <w:t>13)</w:t>
      </w:r>
    </w:p>
    <w:p w14:paraId="30872F85" w14:textId="77777777" w:rsidR="00F1649D" w:rsidRPr="00903D1C" w:rsidRDefault="00F1649D" w:rsidP="00F1649D">
      <w:pPr>
        <w:pStyle w:val="ListParagraph"/>
        <w:widowControl/>
        <w:numPr>
          <w:ilvl w:val="0"/>
          <w:numId w:val="21"/>
        </w:numPr>
        <w:autoSpaceDE/>
        <w:autoSpaceDN/>
        <w:adjustRightInd/>
        <w:contextualSpacing/>
        <w:rPr>
          <w:rFonts w:ascii="Arial" w:hAnsi="Arial" w:cs="Arial"/>
          <w:sz w:val="22"/>
          <w:szCs w:val="22"/>
        </w:rPr>
      </w:pPr>
      <w:r w:rsidRPr="00903D1C">
        <w:rPr>
          <w:rFonts w:ascii="Arial" w:hAnsi="Arial" w:cs="Arial"/>
          <w:sz w:val="22"/>
          <w:szCs w:val="22"/>
        </w:rPr>
        <w:t>Development and Environmental Services Limited (SG01)</w:t>
      </w:r>
    </w:p>
    <w:p w14:paraId="4D36D828" w14:textId="77777777" w:rsidR="00F1649D" w:rsidRPr="00903D1C" w:rsidRDefault="00F1649D" w:rsidP="00F1649D">
      <w:pPr>
        <w:pStyle w:val="StyleStyleNumberedParagraphBoldNotBold"/>
        <w:numPr>
          <w:ilvl w:val="0"/>
          <w:numId w:val="21"/>
        </w:numPr>
        <w:rPr>
          <w:rFonts w:ascii="Arial" w:eastAsia="Times New Roman" w:hAnsi="Arial" w:cs="Arial"/>
        </w:rPr>
      </w:pPr>
      <w:r w:rsidRPr="00903D1C">
        <w:rPr>
          <w:rFonts w:ascii="Arial" w:hAnsi="Arial" w:cs="Arial"/>
        </w:rPr>
        <w:t>Persimmon Homes East Scotland (</w:t>
      </w:r>
      <w:r w:rsidRPr="00903D1C">
        <w:rPr>
          <w:rFonts w:ascii="Arial" w:eastAsia="Times New Roman" w:hAnsi="Arial" w:cs="Arial"/>
        </w:rPr>
        <w:t>SG06, SG13)</w:t>
      </w:r>
    </w:p>
    <w:p w14:paraId="4C0F6460" w14:textId="77777777" w:rsidR="00F1649D" w:rsidRPr="00903D1C" w:rsidRDefault="00F1649D" w:rsidP="00F1649D">
      <w:pPr>
        <w:pStyle w:val="StyleStyleNumberedParagraphBoldNotBold"/>
        <w:numPr>
          <w:ilvl w:val="0"/>
          <w:numId w:val="21"/>
        </w:numPr>
        <w:rPr>
          <w:rFonts w:ascii="Arial" w:eastAsia="Times New Roman" w:hAnsi="Arial" w:cs="Arial"/>
        </w:rPr>
      </w:pPr>
      <w:r w:rsidRPr="00903D1C">
        <w:rPr>
          <w:rFonts w:ascii="Arial" w:hAnsi="Arial" w:cs="Arial"/>
        </w:rPr>
        <w:t>Scottish Government Planning and Architecture (</w:t>
      </w:r>
      <w:r w:rsidRPr="00903D1C">
        <w:rPr>
          <w:rFonts w:ascii="Arial" w:eastAsia="Times New Roman" w:hAnsi="Arial" w:cs="Arial"/>
        </w:rPr>
        <w:t>SG06</w:t>
      </w:r>
      <w:r w:rsidR="003E2496">
        <w:rPr>
          <w:rFonts w:ascii="Arial" w:eastAsia="Times New Roman" w:hAnsi="Arial" w:cs="Arial"/>
        </w:rPr>
        <w:t>, SG07</w:t>
      </w:r>
      <w:r w:rsidRPr="00903D1C">
        <w:rPr>
          <w:rFonts w:ascii="Arial" w:eastAsia="Times New Roman" w:hAnsi="Arial" w:cs="Arial"/>
        </w:rPr>
        <w:t>)</w:t>
      </w:r>
    </w:p>
    <w:p w14:paraId="058A9BA8" w14:textId="77777777" w:rsidR="00F1649D" w:rsidRPr="003E2496" w:rsidRDefault="00F1649D" w:rsidP="00F1649D">
      <w:pPr>
        <w:pStyle w:val="StyleStyleNumberedParagraphBoldNotBold"/>
        <w:numPr>
          <w:ilvl w:val="0"/>
          <w:numId w:val="21"/>
        </w:numPr>
        <w:rPr>
          <w:rFonts w:ascii="Arial" w:hAnsi="Arial" w:cs="Arial"/>
        </w:rPr>
      </w:pPr>
      <w:r w:rsidRPr="00903D1C">
        <w:rPr>
          <w:rFonts w:ascii="Arial" w:hAnsi="Arial" w:cs="Arial"/>
        </w:rPr>
        <w:t>Justin Lamb Associates (</w:t>
      </w:r>
      <w:r w:rsidRPr="00903D1C">
        <w:rPr>
          <w:rFonts w:ascii="Arial" w:eastAsia="Times New Roman" w:hAnsi="Arial" w:cs="Arial"/>
        </w:rPr>
        <w:t>SG06)</w:t>
      </w:r>
    </w:p>
    <w:p w14:paraId="31823B46" w14:textId="77777777" w:rsidR="003E2496" w:rsidRPr="003E2496" w:rsidRDefault="003E2496" w:rsidP="003E2496">
      <w:pPr>
        <w:pStyle w:val="ListParagraph"/>
        <w:widowControl/>
        <w:numPr>
          <w:ilvl w:val="0"/>
          <w:numId w:val="21"/>
        </w:numPr>
        <w:autoSpaceDE/>
        <w:autoSpaceDN/>
        <w:adjustRightInd/>
        <w:contextualSpacing/>
        <w:rPr>
          <w:rFonts w:ascii="Arial" w:hAnsi="Arial" w:cs="Arial"/>
          <w:sz w:val="22"/>
          <w:szCs w:val="22"/>
        </w:rPr>
      </w:pPr>
      <w:r w:rsidRPr="003E2496">
        <w:rPr>
          <w:rFonts w:ascii="Arial" w:hAnsi="Arial" w:cs="Arial"/>
          <w:sz w:val="22"/>
          <w:szCs w:val="22"/>
        </w:rPr>
        <w:t>Woodland Trust Scotland</w:t>
      </w:r>
      <w:r>
        <w:rPr>
          <w:rFonts w:ascii="Arial" w:hAnsi="Arial" w:cs="Arial"/>
          <w:sz w:val="22"/>
          <w:szCs w:val="22"/>
        </w:rPr>
        <w:t xml:space="preserve"> (SG07)</w:t>
      </w:r>
    </w:p>
    <w:p w14:paraId="6C28AB98" w14:textId="77777777" w:rsidR="00F1649D" w:rsidRPr="00903D1C" w:rsidRDefault="00F1649D" w:rsidP="00F1649D">
      <w:pPr>
        <w:pStyle w:val="StyleStyleNumberedParagraphBoldNotBold"/>
        <w:numPr>
          <w:ilvl w:val="0"/>
          <w:numId w:val="21"/>
        </w:numPr>
        <w:rPr>
          <w:rFonts w:ascii="Arial" w:hAnsi="Arial" w:cs="Arial"/>
        </w:rPr>
      </w:pPr>
      <w:r w:rsidRPr="00903D1C">
        <w:rPr>
          <w:rFonts w:ascii="Arial" w:hAnsi="Arial" w:cs="Arial"/>
        </w:rPr>
        <w:t>Corporate and Housing Services (SG13)</w:t>
      </w:r>
    </w:p>
    <w:p w14:paraId="6F4BC4C7" w14:textId="77777777" w:rsidR="00F1649D" w:rsidRPr="00903D1C" w:rsidRDefault="00F1649D" w:rsidP="00F1649D">
      <w:pPr>
        <w:pStyle w:val="StyleStyleNumberedParagraphBoldNotBold"/>
        <w:numPr>
          <w:ilvl w:val="0"/>
          <w:numId w:val="21"/>
        </w:numPr>
        <w:rPr>
          <w:rFonts w:ascii="Arial" w:hAnsi="Arial" w:cs="Arial"/>
        </w:rPr>
      </w:pPr>
      <w:r w:rsidRPr="00903D1C">
        <w:rPr>
          <w:rFonts w:ascii="Arial" w:hAnsi="Arial" w:cs="Arial"/>
        </w:rPr>
        <w:t>Link Group (SG13)</w:t>
      </w:r>
    </w:p>
    <w:p w14:paraId="48C8E920" w14:textId="77777777" w:rsidR="00F1649D" w:rsidRPr="00903D1C" w:rsidRDefault="00F1649D" w:rsidP="00F1649D">
      <w:pPr>
        <w:pStyle w:val="ListParagraph"/>
        <w:widowControl/>
        <w:numPr>
          <w:ilvl w:val="0"/>
          <w:numId w:val="21"/>
        </w:numPr>
        <w:autoSpaceDE/>
        <w:autoSpaceDN/>
        <w:adjustRightInd/>
        <w:contextualSpacing/>
        <w:rPr>
          <w:rFonts w:ascii="Arial" w:hAnsi="Arial" w:cs="Arial"/>
          <w:sz w:val="22"/>
          <w:szCs w:val="22"/>
        </w:rPr>
      </w:pPr>
      <w:r w:rsidRPr="00903D1C">
        <w:rPr>
          <w:rFonts w:ascii="Arial" w:hAnsi="Arial" w:cs="Arial"/>
          <w:sz w:val="22"/>
          <w:szCs w:val="22"/>
        </w:rPr>
        <w:t>Loretto Housing Association (SG13)</w:t>
      </w:r>
    </w:p>
    <w:p w14:paraId="5EA43A94" w14:textId="77777777" w:rsidR="00F1649D" w:rsidRPr="00903D1C" w:rsidRDefault="00F1649D" w:rsidP="00F1649D">
      <w:pPr>
        <w:pStyle w:val="ListParagraph"/>
        <w:widowControl/>
        <w:numPr>
          <w:ilvl w:val="0"/>
          <w:numId w:val="21"/>
        </w:numPr>
        <w:autoSpaceDE/>
        <w:autoSpaceDN/>
        <w:adjustRightInd/>
        <w:contextualSpacing/>
        <w:rPr>
          <w:rFonts w:ascii="Arial" w:hAnsi="Arial" w:cs="Arial"/>
          <w:sz w:val="22"/>
          <w:szCs w:val="22"/>
        </w:rPr>
      </w:pPr>
      <w:r w:rsidRPr="00903D1C">
        <w:rPr>
          <w:rFonts w:ascii="Arial" w:hAnsi="Arial" w:cs="Arial"/>
          <w:sz w:val="22"/>
          <w:szCs w:val="22"/>
        </w:rPr>
        <w:t>NHS Forth Valley (SG13)</w:t>
      </w:r>
    </w:p>
    <w:p w14:paraId="5D682451" w14:textId="77777777" w:rsidR="00ED5AC2" w:rsidRPr="003E2496" w:rsidRDefault="003E2496" w:rsidP="00ED5AC2">
      <w:pPr>
        <w:pStyle w:val="ListParagraph"/>
        <w:widowControl/>
        <w:numPr>
          <w:ilvl w:val="0"/>
          <w:numId w:val="21"/>
        </w:numPr>
        <w:autoSpaceDE/>
        <w:autoSpaceDN/>
        <w:adjustRightInd/>
        <w:contextualSpacing/>
        <w:rPr>
          <w:rFonts w:ascii="Arial" w:hAnsi="Arial" w:cs="Arial"/>
          <w:sz w:val="22"/>
          <w:szCs w:val="22"/>
        </w:rPr>
      </w:pPr>
      <w:r>
        <w:rPr>
          <w:rFonts w:ascii="Arial" w:hAnsi="Arial" w:cs="Arial"/>
          <w:sz w:val="22"/>
          <w:szCs w:val="22"/>
        </w:rPr>
        <w:t>Paths for All (SG13)</w:t>
      </w:r>
    </w:p>
    <w:p w14:paraId="7F462E7C" w14:textId="77777777" w:rsidR="00170C64" w:rsidRPr="007C6A9A" w:rsidRDefault="00170C64" w:rsidP="00AD1966">
      <w:pPr>
        <w:jc w:val="both"/>
        <w:rPr>
          <w:rFonts w:ascii="Arial" w:hAnsi="Arial" w:cs="Arial"/>
          <w:b/>
          <w:sz w:val="22"/>
          <w:szCs w:val="22"/>
        </w:rPr>
      </w:pPr>
    </w:p>
    <w:p w14:paraId="42723CF0" w14:textId="77777777" w:rsidR="003E51E4" w:rsidRPr="00903D1C" w:rsidRDefault="009375DE" w:rsidP="0066069A">
      <w:pPr>
        <w:ind w:left="720"/>
        <w:jc w:val="both"/>
        <w:rPr>
          <w:sz w:val="22"/>
          <w:szCs w:val="22"/>
        </w:rPr>
      </w:pPr>
      <w:r w:rsidRPr="00903D1C">
        <w:rPr>
          <w:rFonts w:ascii="Arial" w:hAnsi="Arial" w:cs="Arial"/>
          <w:sz w:val="22"/>
          <w:szCs w:val="22"/>
        </w:rPr>
        <w:t>The issues raised by representations and the Council’s respo</w:t>
      </w:r>
      <w:r w:rsidR="00975C43" w:rsidRPr="00903D1C">
        <w:rPr>
          <w:rFonts w:ascii="Arial" w:hAnsi="Arial" w:cs="Arial"/>
          <w:sz w:val="22"/>
          <w:szCs w:val="22"/>
        </w:rPr>
        <w:t xml:space="preserve">nse are summarised </w:t>
      </w:r>
      <w:r w:rsidR="00577842" w:rsidRPr="00903D1C">
        <w:rPr>
          <w:rFonts w:ascii="Arial" w:hAnsi="Arial" w:cs="Arial"/>
          <w:sz w:val="22"/>
          <w:szCs w:val="22"/>
        </w:rPr>
        <w:t>in Appendix 1</w:t>
      </w:r>
      <w:r w:rsidR="000C57B6" w:rsidRPr="00903D1C">
        <w:rPr>
          <w:rFonts w:ascii="Arial" w:hAnsi="Arial" w:cs="Arial"/>
          <w:sz w:val="22"/>
          <w:szCs w:val="22"/>
        </w:rPr>
        <w:t xml:space="preserve"> which is appended to this report</w:t>
      </w:r>
      <w:r w:rsidR="00FB4199" w:rsidRPr="00903D1C">
        <w:rPr>
          <w:rFonts w:ascii="Arial" w:hAnsi="Arial" w:cs="Arial"/>
          <w:sz w:val="22"/>
          <w:szCs w:val="22"/>
        </w:rPr>
        <w:t>.</w:t>
      </w:r>
      <w:r w:rsidR="00577842" w:rsidRPr="00903D1C">
        <w:rPr>
          <w:rFonts w:ascii="Arial" w:hAnsi="Arial" w:cs="Arial"/>
          <w:sz w:val="22"/>
          <w:szCs w:val="22"/>
        </w:rPr>
        <w:t xml:space="preserve"> </w:t>
      </w:r>
    </w:p>
    <w:p w14:paraId="3398A0A0" w14:textId="77777777" w:rsidR="00903D1C" w:rsidRDefault="00903D1C" w:rsidP="00903D1C">
      <w:pPr>
        <w:ind w:left="720"/>
        <w:jc w:val="both"/>
        <w:rPr>
          <w:sz w:val="22"/>
          <w:szCs w:val="22"/>
        </w:rPr>
      </w:pPr>
    </w:p>
    <w:p w14:paraId="0156E103" w14:textId="77777777" w:rsidR="003E51E4" w:rsidRPr="0066069A" w:rsidRDefault="0066069A" w:rsidP="0066069A">
      <w:pPr>
        <w:ind w:left="720" w:hanging="720"/>
        <w:jc w:val="both"/>
        <w:rPr>
          <w:rFonts w:ascii="Arial" w:hAnsi="Arial" w:cs="Arial"/>
          <w:sz w:val="22"/>
          <w:szCs w:val="22"/>
        </w:rPr>
      </w:pPr>
      <w:r w:rsidRPr="0066069A">
        <w:rPr>
          <w:rFonts w:ascii="Arial" w:hAnsi="Arial" w:cs="Arial"/>
          <w:sz w:val="22"/>
          <w:szCs w:val="22"/>
        </w:rPr>
        <w:t>4.2</w:t>
      </w:r>
      <w:r w:rsidRPr="0066069A">
        <w:rPr>
          <w:rFonts w:ascii="Arial" w:hAnsi="Arial" w:cs="Arial"/>
          <w:sz w:val="22"/>
          <w:szCs w:val="22"/>
        </w:rPr>
        <w:tab/>
      </w:r>
      <w:r w:rsidR="003E51E4" w:rsidRPr="0066069A">
        <w:rPr>
          <w:rFonts w:ascii="Arial" w:hAnsi="Arial" w:cs="Arial"/>
          <w:sz w:val="22"/>
          <w:szCs w:val="22"/>
        </w:rPr>
        <w:t xml:space="preserve">Eight consultation responses were received to SG01. Most were supportive of the </w:t>
      </w:r>
      <w:proofErr w:type="gramStart"/>
      <w:r w:rsidR="003E51E4" w:rsidRPr="0066069A">
        <w:rPr>
          <w:rFonts w:ascii="Arial" w:hAnsi="Arial" w:cs="Arial"/>
          <w:sz w:val="22"/>
          <w:szCs w:val="22"/>
        </w:rPr>
        <w:t>guidance, or</w:t>
      </w:r>
      <w:proofErr w:type="gramEnd"/>
      <w:r w:rsidR="003E51E4" w:rsidRPr="0066069A">
        <w:rPr>
          <w:rFonts w:ascii="Arial" w:hAnsi="Arial" w:cs="Arial"/>
          <w:sz w:val="22"/>
          <w:szCs w:val="22"/>
        </w:rPr>
        <w:t xml:space="preserve"> sought minor changes. These have been accommodated where possible in the draft finalised version. One respondent sought more radical change to the guidance on restoration of houses and infill development which has not been accepted.</w:t>
      </w:r>
    </w:p>
    <w:p w14:paraId="7D02DD1E" w14:textId="77777777" w:rsidR="00903D1C" w:rsidRPr="0066069A" w:rsidRDefault="00903D1C" w:rsidP="00903D1C">
      <w:pPr>
        <w:ind w:left="720"/>
        <w:jc w:val="both"/>
        <w:rPr>
          <w:sz w:val="22"/>
          <w:szCs w:val="22"/>
        </w:rPr>
      </w:pPr>
    </w:p>
    <w:p w14:paraId="71E9CE78" w14:textId="77777777" w:rsidR="003E51E4" w:rsidRDefault="0066069A" w:rsidP="0066069A">
      <w:pPr>
        <w:ind w:left="709" w:hanging="709"/>
        <w:jc w:val="both"/>
        <w:rPr>
          <w:rFonts w:ascii="Arial" w:hAnsi="Arial" w:cs="Arial"/>
          <w:sz w:val="22"/>
          <w:szCs w:val="22"/>
        </w:rPr>
      </w:pPr>
      <w:r w:rsidRPr="0066069A">
        <w:rPr>
          <w:rFonts w:ascii="Arial" w:hAnsi="Arial" w:cs="Arial"/>
          <w:sz w:val="22"/>
          <w:szCs w:val="22"/>
        </w:rPr>
        <w:t>4.3</w:t>
      </w:r>
      <w:r w:rsidRPr="0066069A">
        <w:rPr>
          <w:rFonts w:ascii="Arial" w:hAnsi="Arial" w:cs="Arial"/>
          <w:sz w:val="22"/>
          <w:szCs w:val="22"/>
        </w:rPr>
        <w:tab/>
      </w:r>
      <w:r w:rsidR="003E51E4" w:rsidRPr="0066069A">
        <w:rPr>
          <w:rFonts w:ascii="Arial" w:hAnsi="Arial" w:cs="Arial"/>
          <w:sz w:val="22"/>
          <w:szCs w:val="22"/>
        </w:rPr>
        <w:t>Three responses were received to SG06, mostly seeking clarification of certain matters. Some amendments have been made clarify the approach to wheelchair accessible housing.</w:t>
      </w:r>
    </w:p>
    <w:p w14:paraId="31A2BFAA" w14:textId="77777777" w:rsidR="003E2496" w:rsidRDefault="003E2496" w:rsidP="0066069A">
      <w:pPr>
        <w:ind w:left="709" w:hanging="709"/>
        <w:jc w:val="both"/>
        <w:rPr>
          <w:rFonts w:ascii="Arial" w:hAnsi="Arial" w:cs="Arial"/>
          <w:sz w:val="22"/>
          <w:szCs w:val="22"/>
        </w:rPr>
      </w:pPr>
    </w:p>
    <w:p w14:paraId="4B9FB027" w14:textId="77777777" w:rsidR="003E2496" w:rsidRPr="0066069A" w:rsidRDefault="003E2496" w:rsidP="0066069A">
      <w:pPr>
        <w:ind w:left="709" w:hanging="709"/>
        <w:jc w:val="both"/>
        <w:rPr>
          <w:rFonts w:ascii="Arial" w:hAnsi="Arial" w:cs="Arial"/>
          <w:sz w:val="22"/>
          <w:szCs w:val="22"/>
        </w:rPr>
      </w:pPr>
      <w:r>
        <w:rPr>
          <w:rFonts w:ascii="Arial" w:hAnsi="Arial" w:cs="Arial"/>
          <w:sz w:val="22"/>
          <w:szCs w:val="22"/>
        </w:rPr>
        <w:t>4.4</w:t>
      </w:r>
      <w:r>
        <w:rPr>
          <w:rFonts w:ascii="Arial" w:hAnsi="Arial" w:cs="Arial"/>
          <w:sz w:val="22"/>
          <w:szCs w:val="22"/>
        </w:rPr>
        <w:tab/>
        <w:t>Five responses were received to SG07</w:t>
      </w:r>
      <w:r w:rsidR="00B12C56">
        <w:rPr>
          <w:rFonts w:ascii="Arial" w:hAnsi="Arial" w:cs="Arial"/>
          <w:sz w:val="22"/>
          <w:szCs w:val="22"/>
        </w:rPr>
        <w:t xml:space="preserve"> which were </w:t>
      </w:r>
      <w:r w:rsidR="00B12C56" w:rsidRPr="009012FC">
        <w:rPr>
          <w:rFonts w:ascii="Arial" w:hAnsi="Arial" w:cs="Arial"/>
          <w:sz w:val="22"/>
          <w:szCs w:val="22"/>
        </w:rPr>
        <w:t xml:space="preserve">mainly of </w:t>
      </w:r>
      <w:r w:rsidR="00B12C56">
        <w:rPr>
          <w:rFonts w:ascii="Arial" w:hAnsi="Arial" w:cs="Arial"/>
          <w:sz w:val="22"/>
          <w:szCs w:val="22"/>
        </w:rPr>
        <w:t xml:space="preserve">a </w:t>
      </w:r>
      <w:r w:rsidR="00B12C56" w:rsidRPr="009012FC">
        <w:rPr>
          <w:rFonts w:ascii="Arial" w:hAnsi="Arial" w:cs="Arial"/>
          <w:sz w:val="22"/>
          <w:szCs w:val="22"/>
        </w:rPr>
        <w:t>technical nature or for clarification in response to the consultation</w:t>
      </w:r>
      <w:r w:rsidR="00B12C56">
        <w:rPr>
          <w:rFonts w:ascii="Arial" w:hAnsi="Arial" w:cs="Arial"/>
          <w:sz w:val="22"/>
          <w:szCs w:val="22"/>
        </w:rPr>
        <w:t>.</w:t>
      </w:r>
    </w:p>
    <w:p w14:paraId="4835A860" w14:textId="77777777" w:rsidR="00903D1C" w:rsidRPr="0066069A" w:rsidRDefault="00903D1C" w:rsidP="003E51E4">
      <w:pPr>
        <w:jc w:val="both"/>
        <w:rPr>
          <w:rFonts w:ascii="Arial" w:hAnsi="Arial" w:cs="Arial"/>
          <w:sz w:val="22"/>
          <w:szCs w:val="22"/>
        </w:rPr>
      </w:pPr>
    </w:p>
    <w:p w14:paraId="4D894D68" w14:textId="77777777" w:rsidR="003E51E4" w:rsidRDefault="0066069A" w:rsidP="003E51E4">
      <w:pPr>
        <w:pStyle w:val="StyleStyleNumberedParagraphBoldNotBold"/>
        <w:tabs>
          <w:tab w:val="clear" w:pos="709"/>
          <w:tab w:val="left" w:pos="2762"/>
        </w:tabs>
        <w:rPr>
          <w:rFonts w:ascii="Arial" w:hAnsi="Arial" w:cs="Arial"/>
          <w:sz w:val="24"/>
          <w:szCs w:val="24"/>
        </w:rPr>
      </w:pPr>
      <w:r w:rsidRPr="0066069A">
        <w:rPr>
          <w:rFonts w:ascii="Arial" w:hAnsi="Arial" w:cs="Arial"/>
        </w:rPr>
        <w:t>4.</w:t>
      </w:r>
      <w:r w:rsidR="003E2496">
        <w:rPr>
          <w:rFonts w:ascii="Arial" w:hAnsi="Arial" w:cs="Arial"/>
        </w:rPr>
        <w:t>5</w:t>
      </w:r>
      <w:r>
        <w:rPr>
          <w:rFonts w:ascii="Arial" w:hAnsi="Arial" w:cs="Arial"/>
          <w:sz w:val="24"/>
          <w:szCs w:val="24"/>
        </w:rPr>
        <w:tab/>
      </w:r>
      <w:r w:rsidR="003E51E4" w:rsidRPr="0066069A">
        <w:rPr>
          <w:rFonts w:ascii="Arial" w:hAnsi="Arial" w:cs="Arial"/>
        </w:rPr>
        <w:t>Nin</w:t>
      </w:r>
      <w:r w:rsidR="003E2496">
        <w:rPr>
          <w:rFonts w:ascii="Arial" w:hAnsi="Arial" w:cs="Arial"/>
        </w:rPr>
        <w:t>e responses were received to SG</w:t>
      </w:r>
      <w:r w:rsidR="003E51E4" w:rsidRPr="0066069A">
        <w:rPr>
          <w:rFonts w:ascii="Arial" w:hAnsi="Arial" w:cs="Arial"/>
        </w:rPr>
        <w:t>13</w:t>
      </w:r>
      <w:r w:rsidR="003E51E4" w:rsidRPr="0066069A">
        <w:rPr>
          <w:rFonts w:ascii="Arial" w:hAnsi="Arial" w:cs="Arial"/>
          <w:b/>
        </w:rPr>
        <w:t xml:space="preserve">. </w:t>
      </w:r>
      <w:r w:rsidR="003E51E4" w:rsidRPr="0066069A">
        <w:rPr>
          <w:rFonts w:ascii="Arial" w:hAnsi="Arial" w:cs="Arial"/>
        </w:rPr>
        <w:t>These raised issues around the application of developer contributions and viability testing to social housing, and specific questions around the determination of contributions for green infrastructure, com</w:t>
      </w:r>
      <w:r w:rsidR="00B12C56">
        <w:rPr>
          <w:rFonts w:ascii="Arial" w:hAnsi="Arial" w:cs="Arial"/>
        </w:rPr>
        <w:t>munity facilities and transport</w:t>
      </w:r>
      <w:r w:rsidR="003E51E4" w:rsidRPr="0066069A">
        <w:rPr>
          <w:rFonts w:ascii="Arial" w:hAnsi="Arial" w:cs="Arial"/>
        </w:rPr>
        <w:t>, the responses to which are recorded in Appendix 1. Some changes have been made to the section on transport in response to comments by Transport Scotland.</w:t>
      </w:r>
    </w:p>
    <w:p w14:paraId="276B6327" w14:textId="77777777" w:rsidR="00B024F7" w:rsidRPr="0066069A" w:rsidRDefault="00B024F7" w:rsidP="003E51E4">
      <w:pPr>
        <w:pStyle w:val="StyleStyleNumberedParagraphBoldNotBold"/>
        <w:tabs>
          <w:tab w:val="clear" w:pos="709"/>
          <w:tab w:val="left" w:pos="2762"/>
        </w:tabs>
        <w:rPr>
          <w:rFonts w:ascii="Arial" w:hAnsi="Arial" w:cs="Arial"/>
        </w:rPr>
      </w:pPr>
    </w:p>
    <w:p w14:paraId="5DC796DF" w14:textId="77777777" w:rsidR="00143C86" w:rsidRDefault="0066069A" w:rsidP="00143C86">
      <w:pPr>
        <w:pStyle w:val="NumberedParagraph"/>
        <w:numPr>
          <w:ilvl w:val="0"/>
          <w:numId w:val="0"/>
        </w:numPr>
        <w:ind w:left="709" w:hanging="709"/>
        <w:rPr>
          <w:rFonts w:ascii="Arial" w:hAnsi="Arial" w:cs="Arial"/>
          <w:b/>
          <w:sz w:val="24"/>
          <w:szCs w:val="24"/>
        </w:rPr>
      </w:pPr>
      <w:r>
        <w:rPr>
          <w:rFonts w:ascii="Arial" w:hAnsi="Arial" w:cs="Arial"/>
        </w:rPr>
        <w:t>4.</w:t>
      </w:r>
      <w:r w:rsidR="003E2496">
        <w:rPr>
          <w:rFonts w:ascii="Arial" w:hAnsi="Arial" w:cs="Arial"/>
        </w:rPr>
        <w:t>6</w:t>
      </w:r>
      <w:r>
        <w:rPr>
          <w:rFonts w:ascii="Arial" w:hAnsi="Arial" w:cs="Arial"/>
        </w:rPr>
        <w:tab/>
      </w:r>
      <w:r w:rsidR="00B12C56">
        <w:rPr>
          <w:rFonts w:ascii="Arial" w:hAnsi="Arial" w:cs="Arial"/>
        </w:rPr>
        <w:t>R</w:t>
      </w:r>
      <w:r w:rsidR="00B024F7" w:rsidRPr="0066069A">
        <w:rPr>
          <w:rFonts w:ascii="Arial" w:hAnsi="Arial" w:cs="Arial"/>
        </w:rPr>
        <w:t xml:space="preserve">epresentations received </w:t>
      </w:r>
      <w:r w:rsidR="00B12C56">
        <w:rPr>
          <w:rFonts w:ascii="Arial" w:hAnsi="Arial" w:cs="Arial"/>
        </w:rPr>
        <w:t xml:space="preserve">to SG01 SG06 and SG13 </w:t>
      </w:r>
      <w:r w:rsidR="00B024F7" w:rsidRPr="0066069A">
        <w:rPr>
          <w:rFonts w:ascii="Arial" w:hAnsi="Arial" w:cs="Arial"/>
        </w:rPr>
        <w:t>and the Council’s proposed responses were presented to Falkirk Council’s Executive Committee for approval</w:t>
      </w:r>
      <w:r w:rsidRPr="0066069A">
        <w:rPr>
          <w:rFonts w:ascii="Arial" w:hAnsi="Arial" w:cs="Arial"/>
        </w:rPr>
        <w:t xml:space="preserve"> on </w:t>
      </w:r>
      <w:r w:rsidR="00B024F7" w:rsidRPr="0066069A">
        <w:rPr>
          <w:rFonts w:ascii="Arial" w:hAnsi="Arial" w:cs="Arial"/>
        </w:rPr>
        <w:t>9</w:t>
      </w:r>
      <w:r w:rsidR="00B024F7" w:rsidRPr="0066069A">
        <w:rPr>
          <w:rFonts w:ascii="Arial" w:hAnsi="Arial" w:cs="Arial"/>
          <w:vertAlign w:val="superscript"/>
        </w:rPr>
        <w:t>th</w:t>
      </w:r>
      <w:r w:rsidR="00B024F7" w:rsidRPr="0066069A">
        <w:rPr>
          <w:rFonts w:ascii="Arial" w:hAnsi="Arial" w:cs="Arial"/>
        </w:rPr>
        <w:t xml:space="preserve"> </w:t>
      </w:r>
      <w:r w:rsidRPr="0066069A">
        <w:rPr>
          <w:rFonts w:ascii="Arial" w:hAnsi="Arial" w:cs="Arial"/>
        </w:rPr>
        <w:t>March</w:t>
      </w:r>
      <w:r w:rsidR="00B024F7" w:rsidRPr="0066069A">
        <w:rPr>
          <w:rFonts w:ascii="Arial" w:hAnsi="Arial" w:cs="Arial"/>
        </w:rPr>
        <w:t xml:space="preserve"> 20</w:t>
      </w:r>
      <w:r w:rsidRPr="0066069A">
        <w:rPr>
          <w:rFonts w:ascii="Arial" w:hAnsi="Arial" w:cs="Arial"/>
        </w:rPr>
        <w:t>21</w:t>
      </w:r>
      <w:r w:rsidR="00B024F7" w:rsidRPr="00143C86">
        <w:rPr>
          <w:rFonts w:ascii="Arial" w:hAnsi="Arial" w:cs="Arial"/>
        </w:rPr>
        <w:t>.</w:t>
      </w:r>
      <w:r w:rsidR="00143C86" w:rsidRPr="00143C86">
        <w:rPr>
          <w:rFonts w:ascii="Arial" w:hAnsi="Arial" w:cs="Arial"/>
        </w:rPr>
        <w:t xml:space="preserve"> The Committee agreed t</w:t>
      </w:r>
      <w:r w:rsidR="00143C86">
        <w:rPr>
          <w:rFonts w:ascii="Arial" w:hAnsi="Arial" w:cs="Arial"/>
        </w:rPr>
        <w:t>hat the SGs</w:t>
      </w:r>
      <w:r w:rsidR="00B87977">
        <w:rPr>
          <w:rFonts w:ascii="Arial" w:hAnsi="Arial" w:cs="Arial"/>
        </w:rPr>
        <w:t>, with recommended amendments,</w:t>
      </w:r>
      <w:r w:rsidR="00143C86">
        <w:rPr>
          <w:rFonts w:ascii="Arial" w:hAnsi="Arial" w:cs="Arial"/>
        </w:rPr>
        <w:t xml:space="preserve"> should be</w:t>
      </w:r>
      <w:r w:rsidR="00143C86" w:rsidRPr="00143C86">
        <w:rPr>
          <w:rFonts w:ascii="Arial" w:hAnsi="Arial" w:cs="Arial"/>
        </w:rPr>
        <w:t xml:space="preserve"> submit</w:t>
      </w:r>
      <w:r w:rsidR="00143C86">
        <w:rPr>
          <w:rFonts w:ascii="Arial" w:hAnsi="Arial" w:cs="Arial"/>
        </w:rPr>
        <w:t>ted</w:t>
      </w:r>
      <w:r w:rsidR="00143C86" w:rsidRPr="00143C86">
        <w:rPr>
          <w:rFonts w:ascii="Arial" w:hAnsi="Arial" w:cs="Arial"/>
        </w:rPr>
        <w:t xml:space="preserve"> to Scottish Ministers for final clearance to adopt.  </w:t>
      </w:r>
      <w:r w:rsidR="00B12C56">
        <w:rPr>
          <w:rFonts w:ascii="Arial" w:hAnsi="Arial" w:cs="Arial"/>
        </w:rPr>
        <w:t>No further referral to Committee was necessary for SG07, as authorisation was previously approved that referral back to Committee, prior to submission to Scottish Ministers, would only be required if comments received were more than a minor or technical nature.</w:t>
      </w:r>
    </w:p>
    <w:p w14:paraId="4CF3E2B2" w14:textId="77777777" w:rsidR="003E32A4" w:rsidRPr="00B4407B" w:rsidRDefault="003E32A4" w:rsidP="00B4407B">
      <w:pPr>
        <w:ind w:left="709" w:hanging="709"/>
        <w:jc w:val="both"/>
        <w:rPr>
          <w:rFonts w:ascii="Arial" w:hAnsi="Arial" w:cs="Arial"/>
          <w:sz w:val="22"/>
          <w:szCs w:val="22"/>
        </w:rPr>
      </w:pPr>
    </w:p>
    <w:p w14:paraId="434C9FE7" w14:textId="77777777" w:rsidR="009012FC" w:rsidRPr="009012FC" w:rsidRDefault="009012FC" w:rsidP="00553710">
      <w:pPr>
        <w:ind w:left="720"/>
        <w:jc w:val="both"/>
        <w:rPr>
          <w:rFonts w:ascii="Arial" w:hAnsi="Arial" w:cs="Arial"/>
          <w:sz w:val="22"/>
          <w:szCs w:val="22"/>
        </w:rPr>
      </w:pPr>
    </w:p>
    <w:p w14:paraId="6D9F4791" w14:textId="77777777" w:rsidR="00751080" w:rsidRPr="00CE6C58" w:rsidRDefault="00B12921" w:rsidP="00B8149A">
      <w:pPr>
        <w:jc w:val="both"/>
        <w:rPr>
          <w:rFonts w:ascii="Arial" w:hAnsi="Arial" w:cs="Arial"/>
          <w:b/>
          <w:sz w:val="22"/>
          <w:szCs w:val="22"/>
        </w:rPr>
      </w:pPr>
      <w:r w:rsidRPr="00CE6C58">
        <w:rPr>
          <w:rFonts w:ascii="Arial" w:hAnsi="Arial" w:cs="Arial"/>
          <w:b/>
          <w:sz w:val="22"/>
          <w:szCs w:val="22"/>
        </w:rPr>
        <w:t>5.</w:t>
      </w:r>
      <w:r w:rsidRPr="00CE6C58">
        <w:rPr>
          <w:rFonts w:ascii="Arial" w:hAnsi="Arial" w:cs="Arial"/>
          <w:b/>
          <w:sz w:val="22"/>
          <w:szCs w:val="22"/>
        </w:rPr>
        <w:tab/>
        <w:t>Conclusion</w:t>
      </w:r>
    </w:p>
    <w:p w14:paraId="12898009" w14:textId="77777777" w:rsidR="000C57B6" w:rsidRPr="00CE6C58" w:rsidRDefault="000C57B6" w:rsidP="000C57B6">
      <w:pPr>
        <w:pStyle w:val="BodyText"/>
        <w:kinsoku w:val="0"/>
        <w:overflowPunct w:val="0"/>
        <w:ind w:left="0" w:firstLine="0"/>
        <w:rPr>
          <w:sz w:val="22"/>
          <w:szCs w:val="22"/>
        </w:rPr>
      </w:pPr>
    </w:p>
    <w:p w14:paraId="4001A493" w14:textId="77777777" w:rsidR="00AD6FF9" w:rsidRPr="00CE6C58" w:rsidRDefault="00B12921" w:rsidP="000C57B6">
      <w:pPr>
        <w:pStyle w:val="BodyText"/>
        <w:kinsoku w:val="0"/>
        <w:overflowPunct w:val="0"/>
        <w:ind w:left="720" w:hanging="720"/>
        <w:rPr>
          <w:sz w:val="22"/>
          <w:szCs w:val="22"/>
        </w:rPr>
      </w:pPr>
      <w:r w:rsidRPr="00CE6C58">
        <w:rPr>
          <w:sz w:val="22"/>
          <w:szCs w:val="22"/>
        </w:rPr>
        <w:t>5.1</w:t>
      </w:r>
      <w:r w:rsidRPr="00CE6C58">
        <w:rPr>
          <w:sz w:val="22"/>
          <w:szCs w:val="22"/>
        </w:rPr>
        <w:tab/>
      </w:r>
      <w:r w:rsidR="00B4407B">
        <w:rPr>
          <w:sz w:val="22"/>
          <w:szCs w:val="22"/>
        </w:rPr>
        <w:t>The SGs</w:t>
      </w:r>
      <w:r w:rsidRPr="00CE6C58">
        <w:rPr>
          <w:sz w:val="22"/>
          <w:szCs w:val="22"/>
        </w:rPr>
        <w:t xml:space="preserve"> outlined in this report </w:t>
      </w:r>
      <w:r w:rsidR="00467800" w:rsidRPr="00CE6C58">
        <w:rPr>
          <w:sz w:val="22"/>
          <w:szCs w:val="22"/>
        </w:rPr>
        <w:t>ha</w:t>
      </w:r>
      <w:r w:rsidR="00B4407B">
        <w:rPr>
          <w:sz w:val="22"/>
          <w:szCs w:val="22"/>
        </w:rPr>
        <w:t>ve</w:t>
      </w:r>
      <w:r w:rsidR="00467800" w:rsidRPr="00CE6C58">
        <w:rPr>
          <w:sz w:val="22"/>
          <w:szCs w:val="22"/>
        </w:rPr>
        <w:t xml:space="preserve"> been subject to publicity through mailshots to relevant consultees, local </w:t>
      </w:r>
      <w:r w:rsidR="00553710">
        <w:rPr>
          <w:sz w:val="22"/>
          <w:szCs w:val="22"/>
        </w:rPr>
        <w:t xml:space="preserve">press </w:t>
      </w:r>
      <w:r w:rsidR="00467800" w:rsidRPr="00CE6C58">
        <w:rPr>
          <w:sz w:val="22"/>
          <w:szCs w:val="22"/>
        </w:rPr>
        <w:t>advertisement</w:t>
      </w:r>
      <w:r w:rsidR="00553710">
        <w:rPr>
          <w:sz w:val="22"/>
          <w:szCs w:val="22"/>
        </w:rPr>
        <w:t>s</w:t>
      </w:r>
      <w:r w:rsidR="00467800" w:rsidRPr="00CE6C58">
        <w:rPr>
          <w:sz w:val="22"/>
          <w:szCs w:val="22"/>
        </w:rPr>
        <w:t xml:space="preserve">, </w:t>
      </w:r>
      <w:r w:rsidR="00553710">
        <w:rPr>
          <w:sz w:val="22"/>
          <w:szCs w:val="22"/>
        </w:rPr>
        <w:t>social media announcement and the Council’s web</w:t>
      </w:r>
      <w:r w:rsidR="00467800" w:rsidRPr="00CE6C58">
        <w:rPr>
          <w:sz w:val="22"/>
          <w:szCs w:val="22"/>
        </w:rPr>
        <w:t>site. The document</w:t>
      </w:r>
      <w:r w:rsidR="00B4407B">
        <w:rPr>
          <w:sz w:val="22"/>
          <w:szCs w:val="22"/>
        </w:rPr>
        <w:t>s</w:t>
      </w:r>
      <w:r w:rsidR="00467800" w:rsidRPr="00CE6C58">
        <w:rPr>
          <w:sz w:val="22"/>
          <w:szCs w:val="22"/>
        </w:rPr>
        <w:t xml:space="preserve"> ha</w:t>
      </w:r>
      <w:r w:rsidR="00B4407B">
        <w:rPr>
          <w:sz w:val="22"/>
          <w:szCs w:val="22"/>
        </w:rPr>
        <w:t>ve</w:t>
      </w:r>
      <w:r w:rsidR="00467800" w:rsidRPr="00CE6C58">
        <w:rPr>
          <w:sz w:val="22"/>
          <w:szCs w:val="22"/>
        </w:rPr>
        <w:t xml:space="preserve"> been made available </w:t>
      </w:r>
      <w:r w:rsidR="00553710">
        <w:rPr>
          <w:sz w:val="22"/>
          <w:szCs w:val="22"/>
        </w:rPr>
        <w:t>on a dedicated webpage</w:t>
      </w:r>
      <w:r w:rsidR="00467800" w:rsidRPr="00CE6C58">
        <w:rPr>
          <w:sz w:val="22"/>
          <w:szCs w:val="22"/>
        </w:rPr>
        <w:t xml:space="preserve"> </w:t>
      </w:r>
      <w:r w:rsidR="00710767">
        <w:rPr>
          <w:sz w:val="22"/>
          <w:szCs w:val="22"/>
        </w:rPr>
        <w:t xml:space="preserve">on </w:t>
      </w:r>
      <w:r w:rsidR="00467800" w:rsidRPr="00CE6C58">
        <w:rPr>
          <w:sz w:val="22"/>
          <w:szCs w:val="22"/>
        </w:rPr>
        <w:t xml:space="preserve">the </w:t>
      </w:r>
      <w:r w:rsidR="00553710">
        <w:rPr>
          <w:sz w:val="22"/>
          <w:szCs w:val="22"/>
        </w:rPr>
        <w:t>Council’s web</w:t>
      </w:r>
      <w:r w:rsidR="00467800" w:rsidRPr="00CE6C58">
        <w:rPr>
          <w:sz w:val="22"/>
          <w:szCs w:val="22"/>
        </w:rPr>
        <w:t>site</w:t>
      </w:r>
      <w:r w:rsidR="00553710">
        <w:rPr>
          <w:sz w:val="22"/>
          <w:szCs w:val="22"/>
        </w:rPr>
        <w:t xml:space="preserve">. All </w:t>
      </w:r>
      <w:r w:rsidR="00467800" w:rsidRPr="00CE6C58">
        <w:rPr>
          <w:sz w:val="22"/>
          <w:szCs w:val="22"/>
        </w:rPr>
        <w:t xml:space="preserve">consultation </w:t>
      </w:r>
      <w:r w:rsidR="00EF215F">
        <w:rPr>
          <w:sz w:val="22"/>
          <w:szCs w:val="22"/>
        </w:rPr>
        <w:t>comments</w:t>
      </w:r>
      <w:r w:rsidR="00EF215F" w:rsidRPr="00CE6C58">
        <w:rPr>
          <w:sz w:val="22"/>
          <w:szCs w:val="22"/>
        </w:rPr>
        <w:t xml:space="preserve"> </w:t>
      </w:r>
      <w:r w:rsidR="00467800" w:rsidRPr="00CE6C58">
        <w:rPr>
          <w:sz w:val="22"/>
          <w:szCs w:val="22"/>
        </w:rPr>
        <w:t xml:space="preserve">received </w:t>
      </w:r>
      <w:r w:rsidR="00553710">
        <w:rPr>
          <w:sz w:val="22"/>
          <w:szCs w:val="22"/>
        </w:rPr>
        <w:t>have been</w:t>
      </w:r>
      <w:r w:rsidR="00467800" w:rsidRPr="00CE6C58">
        <w:rPr>
          <w:sz w:val="22"/>
          <w:szCs w:val="22"/>
        </w:rPr>
        <w:t xml:space="preserve"> </w:t>
      </w:r>
      <w:r w:rsidR="00710767">
        <w:rPr>
          <w:sz w:val="22"/>
          <w:szCs w:val="22"/>
        </w:rPr>
        <w:t xml:space="preserve">thoroughly </w:t>
      </w:r>
      <w:r w:rsidR="00467800" w:rsidRPr="00CE6C58">
        <w:rPr>
          <w:sz w:val="22"/>
          <w:szCs w:val="22"/>
        </w:rPr>
        <w:t>conside</w:t>
      </w:r>
      <w:r w:rsidR="00975C43" w:rsidRPr="00CE6C58">
        <w:rPr>
          <w:sz w:val="22"/>
          <w:szCs w:val="22"/>
        </w:rPr>
        <w:t>red by Council</w:t>
      </w:r>
      <w:r w:rsidR="00553710">
        <w:rPr>
          <w:sz w:val="22"/>
          <w:szCs w:val="22"/>
        </w:rPr>
        <w:t xml:space="preserve"> officers</w:t>
      </w:r>
      <w:r w:rsidR="00EF215F">
        <w:rPr>
          <w:sz w:val="22"/>
          <w:szCs w:val="22"/>
        </w:rPr>
        <w:t xml:space="preserve">, with </w:t>
      </w:r>
      <w:r w:rsidR="00143C86">
        <w:rPr>
          <w:sz w:val="22"/>
          <w:szCs w:val="22"/>
        </w:rPr>
        <w:t>all</w:t>
      </w:r>
      <w:r w:rsidR="00EF215F">
        <w:rPr>
          <w:sz w:val="22"/>
          <w:szCs w:val="22"/>
        </w:rPr>
        <w:t xml:space="preserve"> response</w:t>
      </w:r>
      <w:r w:rsidR="00143C86">
        <w:rPr>
          <w:sz w:val="22"/>
          <w:szCs w:val="22"/>
        </w:rPr>
        <w:t>s</w:t>
      </w:r>
      <w:r w:rsidR="00EF215F">
        <w:rPr>
          <w:sz w:val="22"/>
          <w:szCs w:val="22"/>
        </w:rPr>
        <w:t xml:space="preserve"> </w:t>
      </w:r>
      <w:r w:rsidR="00B87977">
        <w:rPr>
          <w:sz w:val="22"/>
          <w:szCs w:val="22"/>
        </w:rPr>
        <w:t xml:space="preserve">and proposed amendments </w:t>
      </w:r>
      <w:r w:rsidR="00EF215F">
        <w:rPr>
          <w:sz w:val="22"/>
          <w:szCs w:val="22"/>
        </w:rPr>
        <w:t xml:space="preserve">recorded in Appendix 1. </w:t>
      </w:r>
    </w:p>
    <w:p w14:paraId="1A1363F0" w14:textId="77777777" w:rsidR="00AD6FF9" w:rsidRPr="00CE6C58" w:rsidRDefault="00AD6FF9" w:rsidP="00AD6FF9">
      <w:pPr>
        <w:pStyle w:val="BodyText"/>
        <w:kinsoku w:val="0"/>
        <w:overflowPunct w:val="0"/>
        <w:ind w:left="0" w:firstLine="0"/>
        <w:rPr>
          <w:sz w:val="22"/>
          <w:szCs w:val="22"/>
        </w:rPr>
      </w:pPr>
    </w:p>
    <w:p w14:paraId="74ED9B11" w14:textId="77777777" w:rsidR="00AD6FF9" w:rsidRPr="00CE6C58" w:rsidRDefault="000735EA" w:rsidP="00AD6FF9">
      <w:pPr>
        <w:pStyle w:val="BodyText"/>
        <w:kinsoku w:val="0"/>
        <w:overflowPunct w:val="0"/>
        <w:spacing w:before="6"/>
        <w:ind w:left="0" w:firstLine="0"/>
        <w:rPr>
          <w:sz w:val="22"/>
          <w:szCs w:val="22"/>
        </w:rPr>
      </w:pPr>
      <w:r w:rsidRPr="00CE6C58">
        <w:rPr>
          <w:sz w:val="22"/>
          <w:szCs w:val="22"/>
        </w:rPr>
        <w:br w:type="page"/>
      </w:r>
    </w:p>
    <w:p w14:paraId="5A62D3CF" w14:textId="77777777" w:rsidR="00AD6FF9" w:rsidRPr="00F65C68" w:rsidRDefault="00272EFF" w:rsidP="006A7C66">
      <w:pPr>
        <w:pStyle w:val="Heading1"/>
        <w:kinsoku w:val="0"/>
        <w:overflowPunct w:val="0"/>
        <w:ind w:left="0"/>
        <w:rPr>
          <w:b w:val="0"/>
          <w:bCs w:val="0"/>
          <w:sz w:val="22"/>
          <w:szCs w:val="22"/>
        </w:rPr>
      </w:pPr>
      <w:r w:rsidRPr="00F65C68">
        <w:rPr>
          <w:spacing w:val="-1"/>
          <w:sz w:val="22"/>
          <w:szCs w:val="22"/>
        </w:rPr>
        <w:lastRenderedPageBreak/>
        <w:t>Appendix</w:t>
      </w:r>
      <w:r w:rsidR="00AD6FF9" w:rsidRPr="00F65C68">
        <w:rPr>
          <w:spacing w:val="-1"/>
          <w:sz w:val="22"/>
          <w:szCs w:val="22"/>
        </w:rPr>
        <w:t xml:space="preserve"> </w:t>
      </w:r>
      <w:r w:rsidR="00AD6FF9" w:rsidRPr="00F65C68">
        <w:rPr>
          <w:sz w:val="22"/>
          <w:szCs w:val="22"/>
        </w:rPr>
        <w:t>1</w:t>
      </w:r>
    </w:p>
    <w:p w14:paraId="1C649720" w14:textId="77777777" w:rsidR="0066562F" w:rsidRPr="00F65C68" w:rsidRDefault="0066562F" w:rsidP="002A18AA">
      <w:pPr>
        <w:pStyle w:val="BodyText"/>
        <w:kinsoku w:val="0"/>
        <w:overflowPunct w:val="0"/>
        <w:ind w:left="0" w:firstLine="0"/>
        <w:rPr>
          <w:b/>
          <w:bCs/>
          <w:sz w:val="22"/>
          <w:szCs w:val="22"/>
        </w:rPr>
      </w:pPr>
    </w:p>
    <w:p w14:paraId="5A0661D1" w14:textId="77777777" w:rsidR="0066562F" w:rsidRDefault="00AD6FF9" w:rsidP="0066562F">
      <w:pPr>
        <w:pStyle w:val="BodyText"/>
        <w:kinsoku w:val="0"/>
        <w:overflowPunct w:val="0"/>
        <w:ind w:left="0" w:firstLine="0"/>
        <w:rPr>
          <w:b/>
          <w:sz w:val="22"/>
          <w:szCs w:val="22"/>
        </w:rPr>
      </w:pPr>
      <w:r w:rsidRPr="0066562F">
        <w:rPr>
          <w:b/>
          <w:bCs/>
          <w:spacing w:val="-2"/>
          <w:sz w:val="22"/>
          <w:szCs w:val="22"/>
        </w:rPr>
        <w:t xml:space="preserve">SUMMARY </w:t>
      </w:r>
      <w:r w:rsidRPr="0066562F">
        <w:rPr>
          <w:b/>
          <w:bCs/>
          <w:sz w:val="22"/>
          <w:szCs w:val="22"/>
        </w:rPr>
        <w:t>OF</w:t>
      </w:r>
      <w:r w:rsidRPr="0066562F">
        <w:rPr>
          <w:b/>
          <w:bCs/>
          <w:spacing w:val="3"/>
          <w:sz w:val="22"/>
          <w:szCs w:val="22"/>
        </w:rPr>
        <w:t xml:space="preserve"> </w:t>
      </w:r>
      <w:r w:rsidRPr="0066562F">
        <w:rPr>
          <w:b/>
          <w:bCs/>
          <w:spacing w:val="-1"/>
          <w:sz w:val="22"/>
          <w:szCs w:val="22"/>
        </w:rPr>
        <w:t xml:space="preserve">COMMENTS </w:t>
      </w:r>
      <w:r w:rsidRPr="0066562F">
        <w:rPr>
          <w:b/>
          <w:bCs/>
          <w:spacing w:val="-3"/>
          <w:sz w:val="22"/>
          <w:szCs w:val="22"/>
        </w:rPr>
        <w:t>AND</w:t>
      </w:r>
      <w:r w:rsidRPr="0066562F">
        <w:rPr>
          <w:b/>
          <w:bCs/>
          <w:spacing w:val="4"/>
          <w:sz w:val="22"/>
          <w:szCs w:val="22"/>
        </w:rPr>
        <w:t xml:space="preserve"> </w:t>
      </w:r>
      <w:r w:rsidRPr="0066562F">
        <w:rPr>
          <w:b/>
          <w:bCs/>
          <w:spacing w:val="-1"/>
          <w:sz w:val="22"/>
          <w:szCs w:val="22"/>
        </w:rPr>
        <w:t>RESPONSES</w:t>
      </w:r>
      <w:r w:rsidR="009037C3" w:rsidRPr="0066562F">
        <w:rPr>
          <w:b/>
          <w:bCs/>
          <w:spacing w:val="-1"/>
          <w:sz w:val="22"/>
          <w:szCs w:val="22"/>
        </w:rPr>
        <w:t xml:space="preserve"> –</w:t>
      </w:r>
      <w:r w:rsidR="0066562F" w:rsidRPr="0066562F">
        <w:rPr>
          <w:b/>
          <w:sz w:val="22"/>
          <w:szCs w:val="22"/>
        </w:rPr>
        <w:t xml:space="preserve"> SG01, SG06</w:t>
      </w:r>
      <w:r w:rsidR="00B12C56">
        <w:rPr>
          <w:b/>
          <w:sz w:val="22"/>
          <w:szCs w:val="22"/>
        </w:rPr>
        <w:t>, SG07</w:t>
      </w:r>
      <w:r w:rsidR="0066562F" w:rsidRPr="0066562F">
        <w:rPr>
          <w:b/>
          <w:sz w:val="22"/>
          <w:szCs w:val="22"/>
        </w:rPr>
        <w:t xml:space="preserve"> and SG13</w:t>
      </w:r>
    </w:p>
    <w:p w14:paraId="41E37BCC" w14:textId="77777777" w:rsidR="0066562F" w:rsidRPr="0066562F" w:rsidRDefault="0066562F" w:rsidP="0066562F">
      <w:pPr>
        <w:pStyle w:val="BodyText"/>
        <w:kinsoku w:val="0"/>
        <w:overflowPunct w:val="0"/>
        <w:ind w:left="0" w:firstLine="0"/>
        <w:rPr>
          <w:b/>
          <w:sz w:val="22"/>
          <w:szCs w:val="22"/>
        </w:rPr>
      </w:pPr>
    </w:p>
    <w:p w14:paraId="4F111807" w14:textId="77777777" w:rsidR="0066562F" w:rsidRPr="00F461C2" w:rsidRDefault="0066562F" w:rsidP="0066562F">
      <w:pPr>
        <w:rPr>
          <w:rFonts w:ascii="Arial" w:hAnsi="Arial" w:cs="Arial"/>
          <w:b/>
          <w:sz w:val="22"/>
          <w:szCs w:val="22"/>
        </w:rPr>
      </w:pPr>
      <w:r w:rsidRPr="00F461C2">
        <w:rPr>
          <w:rFonts w:ascii="Arial" w:hAnsi="Arial" w:cs="Arial"/>
          <w:b/>
          <w:sz w:val="22"/>
          <w:szCs w:val="22"/>
        </w:rPr>
        <w:t>SG01 Development in the Countryside</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800"/>
        <w:gridCol w:w="4629"/>
        <w:gridCol w:w="6095"/>
      </w:tblGrid>
      <w:tr w:rsidR="0066562F" w:rsidRPr="00F461C2" w14:paraId="1C922A9F" w14:textId="77777777" w:rsidTr="0010511E">
        <w:tc>
          <w:tcPr>
            <w:tcW w:w="1646" w:type="dxa"/>
            <w:shd w:val="clear" w:color="auto" w:fill="BFBFBF"/>
          </w:tcPr>
          <w:p w14:paraId="5DD392FE" w14:textId="77777777" w:rsidR="0066562F" w:rsidRPr="00F461C2" w:rsidRDefault="0066562F" w:rsidP="0010511E">
            <w:pPr>
              <w:rPr>
                <w:rFonts w:ascii="Arial" w:hAnsi="Arial" w:cs="Arial"/>
                <w:sz w:val="20"/>
                <w:szCs w:val="20"/>
              </w:rPr>
            </w:pPr>
            <w:r w:rsidRPr="00F461C2">
              <w:rPr>
                <w:rFonts w:ascii="Arial" w:hAnsi="Arial" w:cs="Arial"/>
                <w:sz w:val="20"/>
                <w:szCs w:val="20"/>
              </w:rPr>
              <w:t>Organisation</w:t>
            </w:r>
          </w:p>
        </w:tc>
        <w:tc>
          <w:tcPr>
            <w:tcW w:w="1800" w:type="dxa"/>
            <w:shd w:val="clear" w:color="auto" w:fill="BFBFBF"/>
          </w:tcPr>
          <w:p w14:paraId="18BAFAEF" w14:textId="77777777" w:rsidR="0066562F" w:rsidRPr="00F461C2" w:rsidRDefault="0066562F" w:rsidP="0010511E">
            <w:pPr>
              <w:rPr>
                <w:rFonts w:ascii="Arial" w:hAnsi="Arial" w:cs="Arial"/>
                <w:sz w:val="20"/>
                <w:szCs w:val="20"/>
              </w:rPr>
            </w:pPr>
            <w:r w:rsidRPr="00F461C2">
              <w:rPr>
                <w:rFonts w:ascii="Arial" w:hAnsi="Arial" w:cs="Arial"/>
                <w:sz w:val="20"/>
                <w:szCs w:val="20"/>
              </w:rPr>
              <w:t>Para/Section</w:t>
            </w:r>
          </w:p>
        </w:tc>
        <w:tc>
          <w:tcPr>
            <w:tcW w:w="4629" w:type="dxa"/>
            <w:shd w:val="clear" w:color="auto" w:fill="BFBFBF"/>
          </w:tcPr>
          <w:p w14:paraId="58396270" w14:textId="77777777" w:rsidR="0066562F" w:rsidRPr="00F461C2" w:rsidRDefault="0066562F" w:rsidP="0010511E">
            <w:pPr>
              <w:rPr>
                <w:rFonts w:ascii="Arial" w:hAnsi="Arial" w:cs="Arial"/>
                <w:sz w:val="20"/>
                <w:szCs w:val="20"/>
              </w:rPr>
            </w:pPr>
            <w:r w:rsidRPr="00F461C2">
              <w:rPr>
                <w:rFonts w:ascii="Arial" w:hAnsi="Arial" w:cs="Arial"/>
                <w:sz w:val="20"/>
                <w:szCs w:val="20"/>
              </w:rPr>
              <w:t>Comment</w:t>
            </w:r>
          </w:p>
        </w:tc>
        <w:tc>
          <w:tcPr>
            <w:tcW w:w="6095" w:type="dxa"/>
            <w:shd w:val="clear" w:color="auto" w:fill="BFBFBF"/>
          </w:tcPr>
          <w:p w14:paraId="2C8244B2" w14:textId="77777777" w:rsidR="0066562F" w:rsidRPr="00F461C2" w:rsidRDefault="0066562F" w:rsidP="0010511E">
            <w:pPr>
              <w:rPr>
                <w:rFonts w:ascii="Arial" w:hAnsi="Arial" w:cs="Arial"/>
                <w:sz w:val="20"/>
                <w:szCs w:val="20"/>
              </w:rPr>
            </w:pPr>
            <w:r w:rsidRPr="00F461C2">
              <w:rPr>
                <w:rFonts w:ascii="Arial" w:hAnsi="Arial" w:cs="Arial"/>
                <w:sz w:val="20"/>
                <w:szCs w:val="20"/>
              </w:rPr>
              <w:t>Response</w:t>
            </w:r>
          </w:p>
        </w:tc>
      </w:tr>
      <w:tr w:rsidR="0066562F" w:rsidRPr="00F461C2" w14:paraId="12875509" w14:textId="77777777" w:rsidTr="0010511E">
        <w:tc>
          <w:tcPr>
            <w:tcW w:w="1646" w:type="dxa"/>
            <w:shd w:val="clear" w:color="auto" w:fill="auto"/>
          </w:tcPr>
          <w:p w14:paraId="2E79D3F4"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Yvonne </w:t>
            </w:r>
            <w:proofErr w:type="spellStart"/>
            <w:r w:rsidRPr="00F461C2">
              <w:rPr>
                <w:rFonts w:ascii="Arial" w:hAnsi="Arial" w:cs="Arial"/>
                <w:sz w:val="20"/>
                <w:szCs w:val="20"/>
              </w:rPr>
              <w:t>McBlain</w:t>
            </w:r>
            <w:proofErr w:type="spellEnd"/>
          </w:p>
          <w:p w14:paraId="12C50857" w14:textId="77777777" w:rsidR="0066562F" w:rsidRPr="00F461C2" w:rsidRDefault="0066562F" w:rsidP="0010511E">
            <w:pPr>
              <w:rPr>
                <w:rFonts w:ascii="Arial" w:hAnsi="Arial" w:cs="Arial"/>
                <w:sz w:val="20"/>
                <w:szCs w:val="20"/>
              </w:rPr>
            </w:pPr>
          </w:p>
        </w:tc>
        <w:tc>
          <w:tcPr>
            <w:tcW w:w="1800" w:type="dxa"/>
            <w:shd w:val="clear" w:color="auto" w:fill="auto"/>
          </w:tcPr>
          <w:p w14:paraId="2BDDBD22" w14:textId="77777777" w:rsidR="0066562F" w:rsidRPr="00F461C2" w:rsidRDefault="0066562F" w:rsidP="0010511E">
            <w:pPr>
              <w:rPr>
                <w:rFonts w:ascii="Arial" w:hAnsi="Arial" w:cs="Arial"/>
                <w:sz w:val="20"/>
                <w:szCs w:val="20"/>
              </w:rPr>
            </w:pPr>
            <w:r w:rsidRPr="00F461C2">
              <w:rPr>
                <w:rFonts w:ascii="Arial" w:hAnsi="Arial" w:cs="Arial"/>
                <w:sz w:val="20"/>
                <w:szCs w:val="20"/>
              </w:rPr>
              <w:t>General</w:t>
            </w:r>
          </w:p>
        </w:tc>
        <w:tc>
          <w:tcPr>
            <w:tcW w:w="4629" w:type="dxa"/>
            <w:shd w:val="clear" w:color="auto" w:fill="auto"/>
          </w:tcPr>
          <w:p w14:paraId="74AD9EC9"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Comprehensive, informative and visually attractive document. </w:t>
            </w:r>
          </w:p>
          <w:p w14:paraId="43B17244"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SG protects the natural and built heritage of Falkirk Council countryside while encouraging appropriate development. </w:t>
            </w:r>
          </w:p>
        </w:tc>
        <w:tc>
          <w:tcPr>
            <w:tcW w:w="6095" w:type="dxa"/>
            <w:shd w:val="clear" w:color="auto" w:fill="auto"/>
          </w:tcPr>
          <w:p w14:paraId="09796E40"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w:t>
            </w:r>
          </w:p>
        </w:tc>
      </w:tr>
      <w:tr w:rsidR="0066562F" w:rsidRPr="00F461C2" w14:paraId="033EA403" w14:textId="77777777" w:rsidTr="0010511E">
        <w:tc>
          <w:tcPr>
            <w:tcW w:w="1646" w:type="dxa"/>
            <w:shd w:val="clear" w:color="auto" w:fill="auto"/>
          </w:tcPr>
          <w:p w14:paraId="6CD5EE31" w14:textId="77777777" w:rsidR="0066562F" w:rsidRPr="00F461C2" w:rsidRDefault="0066562F" w:rsidP="0010511E">
            <w:pPr>
              <w:rPr>
                <w:rFonts w:ascii="Arial" w:hAnsi="Arial" w:cs="Arial"/>
                <w:sz w:val="20"/>
                <w:szCs w:val="20"/>
              </w:rPr>
            </w:pPr>
            <w:r w:rsidRPr="00F461C2">
              <w:rPr>
                <w:rFonts w:ascii="Arial" w:hAnsi="Arial" w:cs="Arial"/>
                <w:sz w:val="20"/>
                <w:szCs w:val="20"/>
              </w:rPr>
              <w:t>Scottish Badgers</w:t>
            </w:r>
          </w:p>
          <w:p w14:paraId="661FC948" w14:textId="77777777" w:rsidR="0066562F" w:rsidRPr="00F461C2" w:rsidRDefault="0066562F" w:rsidP="0010511E">
            <w:pPr>
              <w:rPr>
                <w:rFonts w:ascii="Arial" w:hAnsi="Arial" w:cs="Arial"/>
                <w:sz w:val="20"/>
                <w:szCs w:val="20"/>
              </w:rPr>
            </w:pPr>
          </w:p>
        </w:tc>
        <w:tc>
          <w:tcPr>
            <w:tcW w:w="1800" w:type="dxa"/>
            <w:shd w:val="clear" w:color="auto" w:fill="auto"/>
          </w:tcPr>
          <w:p w14:paraId="6C79B62E" w14:textId="77777777" w:rsidR="0066562F" w:rsidRPr="00F461C2" w:rsidRDefault="0066562F" w:rsidP="0010511E">
            <w:pPr>
              <w:rPr>
                <w:rFonts w:ascii="Arial" w:hAnsi="Arial" w:cs="Arial"/>
                <w:sz w:val="20"/>
                <w:szCs w:val="20"/>
              </w:rPr>
            </w:pPr>
            <w:r w:rsidRPr="00F461C2">
              <w:rPr>
                <w:rFonts w:ascii="Arial" w:hAnsi="Arial" w:cs="Arial"/>
                <w:bCs/>
                <w:sz w:val="20"/>
                <w:szCs w:val="20"/>
              </w:rPr>
              <w:t>Para 2.9</w:t>
            </w:r>
          </w:p>
        </w:tc>
        <w:tc>
          <w:tcPr>
            <w:tcW w:w="4629" w:type="dxa"/>
            <w:shd w:val="clear" w:color="auto" w:fill="auto"/>
          </w:tcPr>
          <w:p w14:paraId="144EF98D" w14:textId="77777777" w:rsidR="0066562F" w:rsidRPr="00F461C2" w:rsidRDefault="0066562F" w:rsidP="0010511E">
            <w:pPr>
              <w:rPr>
                <w:rFonts w:ascii="Arial" w:hAnsi="Arial" w:cs="Arial"/>
                <w:sz w:val="20"/>
                <w:szCs w:val="20"/>
              </w:rPr>
            </w:pPr>
            <w:r w:rsidRPr="00F461C2">
              <w:rPr>
                <w:rFonts w:ascii="Arial" w:hAnsi="Arial" w:cs="Arial"/>
                <w:sz w:val="20"/>
                <w:szCs w:val="20"/>
              </w:rPr>
              <w:t>Para 2.9 specifically mentions “</w:t>
            </w:r>
            <w:r w:rsidRPr="00F461C2">
              <w:rPr>
                <w:rFonts w:ascii="Arial" w:hAnsi="Arial" w:cs="Arial"/>
                <w:i/>
                <w:iCs/>
                <w:sz w:val="20"/>
                <w:szCs w:val="20"/>
              </w:rPr>
              <w:t>presence of bats and birds”</w:t>
            </w:r>
            <w:r w:rsidRPr="00F461C2">
              <w:rPr>
                <w:rFonts w:ascii="Arial" w:hAnsi="Arial" w:cs="Arial"/>
                <w:sz w:val="20"/>
                <w:szCs w:val="20"/>
              </w:rPr>
              <w:t>, however “</w:t>
            </w:r>
            <w:r w:rsidRPr="00F461C2">
              <w:rPr>
                <w:rFonts w:ascii="Arial" w:hAnsi="Arial" w:cs="Arial"/>
                <w:i/>
                <w:iCs/>
                <w:sz w:val="20"/>
                <w:szCs w:val="20"/>
              </w:rPr>
              <w:t>protected species”</w:t>
            </w:r>
            <w:r w:rsidRPr="00F461C2">
              <w:rPr>
                <w:rFonts w:ascii="Arial" w:hAnsi="Arial" w:cs="Arial"/>
                <w:sz w:val="20"/>
                <w:szCs w:val="20"/>
              </w:rPr>
              <w:t xml:space="preserve"> may better cover all licensable species. Redevelopment can result in the loss of spaces for wildlife, therefore the incorporation of integrated features, such as nesting spaces, can be discrete and more effective than off site mitigation.</w:t>
            </w:r>
          </w:p>
        </w:tc>
        <w:tc>
          <w:tcPr>
            <w:tcW w:w="6095" w:type="dxa"/>
            <w:shd w:val="clear" w:color="auto" w:fill="auto"/>
          </w:tcPr>
          <w:p w14:paraId="34C84CFF" w14:textId="77777777" w:rsidR="0066562F" w:rsidRPr="00F461C2" w:rsidRDefault="0066562F" w:rsidP="0010511E">
            <w:pPr>
              <w:rPr>
                <w:rFonts w:ascii="Arial" w:hAnsi="Arial" w:cs="Arial"/>
                <w:sz w:val="20"/>
                <w:szCs w:val="20"/>
              </w:rPr>
            </w:pPr>
            <w:r w:rsidRPr="00F461C2">
              <w:rPr>
                <w:rFonts w:ascii="Arial" w:hAnsi="Arial" w:cs="Arial"/>
                <w:sz w:val="20"/>
                <w:szCs w:val="20"/>
              </w:rPr>
              <w:t>Comment accepted. At the end of the second and fifth sentences in para 2.9 replace ‘</w:t>
            </w:r>
            <w:r w:rsidRPr="00F461C2">
              <w:rPr>
                <w:rFonts w:ascii="Arial" w:hAnsi="Arial" w:cs="Arial"/>
                <w:i/>
                <w:iCs/>
                <w:sz w:val="20"/>
                <w:szCs w:val="20"/>
              </w:rPr>
              <w:t xml:space="preserve">bats and birds’ </w:t>
            </w:r>
            <w:r w:rsidRPr="00F461C2">
              <w:rPr>
                <w:rFonts w:ascii="Arial" w:hAnsi="Arial" w:cs="Arial"/>
                <w:sz w:val="20"/>
                <w:szCs w:val="20"/>
              </w:rPr>
              <w:t>with ‘</w:t>
            </w:r>
            <w:r w:rsidRPr="00F461C2">
              <w:rPr>
                <w:rFonts w:ascii="Arial" w:hAnsi="Arial" w:cs="Arial"/>
                <w:i/>
                <w:iCs/>
                <w:sz w:val="20"/>
                <w:szCs w:val="20"/>
              </w:rPr>
              <w:t xml:space="preserve">protected </w:t>
            </w:r>
            <w:proofErr w:type="gramStart"/>
            <w:r w:rsidRPr="00F461C2">
              <w:rPr>
                <w:rFonts w:ascii="Arial" w:hAnsi="Arial" w:cs="Arial"/>
                <w:i/>
                <w:iCs/>
                <w:sz w:val="20"/>
                <w:szCs w:val="20"/>
              </w:rPr>
              <w:t>species’</w:t>
            </w:r>
            <w:proofErr w:type="gramEnd"/>
            <w:r w:rsidRPr="00F461C2">
              <w:rPr>
                <w:rFonts w:ascii="Arial" w:hAnsi="Arial" w:cs="Arial"/>
                <w:i/>
                <w:iCs/>
                <w:sz w:val="20"/>
                <w:szCs w:val="20"/>
              </w:rPr>
              <w:t>.</w:t>
            </w:r>
          </w:p>
        </w:tc>
      </w:tr>
      <w:tr w:rsidR="0066562F" w:rsidRPr="00F461C2" w14:paraId="6344ADF4" w14:textId="77777777" w:rsidTr="0010511E">
        <w:tc>
          <w:tcPr>
            <w:tcW w:w="1646" w:type="dxa"/>
            <w:shd w:val="clear" w:color="auto" w:fill="auto"/>
          </w:tcPr>
          <w:p w14:paraId="1526C49C" w14:textId="77777777" w:rsidR="0066562F" w:rsidRPr="00F461C2" w:rsidRDefault="0066562F" w:rsidP="0010511E">
            <w:pPr>
              <w:rPr>
                <w:rFonts w:ascii="Arial" w:hAnsi="Arial" w:cs="Arial"/>
                <w:sz w:val="20"/>
                <w:szCs w:val="20"/>
              </w:rPr>
            </w:pPr>
            <w:r w:rsidRPr="00F461C2">
              <w:rPr>
                <w:rFonts w:ascii="Arial" w:hAnsi="Arial" w:cs="Arial"/>
                <w:sz w:val="20"/>
                <w:szCs w:val="20"/>
              </w:rPr>
              <w:t>Sandy Paterson</w:t>
            </w:r>
          </w:p>
        </w:tc>
        <w:tc>
          <w:tcPr>
            <w:tcW w:w="1800" w:type="dxa"/>
            <w:shd w:val="clear" w:color="auto" w:fill="auto"/>
          </w:tcPr>
          <w:p w14:paraId="0B514D06" w14:textId="77777777" w:rsidR="0066562F" w:rsidRPr="00F461C2" w:rsidRDefault="0066562F" w:rsidP="0010511E">
            <w:pPr>
              <w:rPr>
                <w:rFonts w:ascii="Arial" w:hAnsi="Arial" w:cs="Arial"/>
                <w:sz w:val="20"/>
                <w:szCs w:val="20"/>
              </w:rPr>
            </w:pPr>
            <w:r w:rsidRPr="00F461C2">
              <w:rPr>
                <w:rFonts w:ascii="Arial" w:hAnsi="Arial" w:cs="Arial"/>
                <w:sz w:val="20"/>
                <w:szCs w:val="20"/>
              </w:rPr>
              <w:t>General</w:t>
            </w:r>
          </w:p>
        </w:tc>
        <w:tc>
          <w:tcPr>
            <w:tcW w:w="4629" w:type="dxa"/>
            <w:shd w:val="clear" w:color="auto" w:fill="auto"/>
          </w:tcPr>
          <w:p w14:paraId="49049A13" w14:textId="77777777" w:rsidR="0066562F" w:rsidRPr="00F461C2" w:rsidRDefault="0066562F" w:rsidP="0010511E">
            <w:pPr>
              <w:rPr>
                <w:rFonts w:ascii="Arial" w:hAnsi="Arial" w:cs="Arial"/>
                <w:sz w:val="20"/>
                <w:szCs w:val="20"/>
              </w:rPr>
            </w:pPr>
            <w:r w:rsidRPr="00F461C2">
              <w:rPr>
                <w:rFonts w:ascii="Arial" w:hAnsi="Arial" w:cs="Arial"/>
                <w:sz w:val="20"/>
                <w:szCs w:val="20"/>
              </w:rPr>
              <w:t>All new developments should address in the planning application, how it will encourage or increase healthy outdoor leisure activity, and how it will integrate with the current network of facilities. Development should not be allowed to detract from the established network of outdoor facilities.</w:t>
            </w:r>
          </w:p>
        </w:tc>
        <w:tc>
          <w:tcPr>
            <w:tcW w:w="6095" w:type="dxa"/>
            <w:shd w:val="clear" w:color="auto" w:fill="auto"/>
          </w:tcPr>
          <w:p w14:paraId="50979BE6"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 accepted. It would not be reasonable or within the scope of this SG or existing LDP policy to require all planning applications to address outdoor leisure issues in the manner described.  There are other policies in the LDP which protect and promote certain key recreational assets such as open space and core paths. Any impacts on these assets would be addressed in the context of the relevant policies.</w:t>
            </w:r>
          </w:p>
        </w:tc>
      </w:tr>
      <w:tr w:rsidR="0066562F" w:rsidRPr="00F461C2" w14:paraId="03A1EC94" w14:textId="77777777" w:rsidTr="0010511E">
        <w:tc>
          <w:tcPr>
            <w:tcW w:w="1646" w:type="dxa"/>
            <w:shd w:val="clear" w:color="auto" w:fill="auto"/>
          </w:tcPr>
          <w:p w14:paraId="5CD25CF4" w14:textId="77777777" w:rsidR="0066562F" w:rsidRPr="00F461C2" w:rsidRDefault="0066562F" w:rsidP="0010511E">
            <w:pPr>
              <w:rPr>
                <w:rFonts w:ascii="Arial" w:hAnsi="Arial" w:cs="Arial"/>
                <w:sz w:val="20"/>
                <w:szCs w:val="20"/>
              </w:rPr>
            </w:pPr>
            <w:r w:rsidRPr="00F461C2">
              <w:rPr>
                <w:rFonts w:ascii="Arial" w:hAnsi="Arial" w:cs="Arial"/>
                <w:sz w:val="20"/>
                <w:szCs w:val="20"/>
              </w:rPr>
              <w:t>Sandy Paterson</w:t>
            </w:r>
          </w:p>
        </w:tc>
        <w:tc>
          <w:tcPr>
            <w:tcW w:w="1800" w:type="dxa"/>
            <w:shd w:val="clear" w:color="auto" w:fill="auto"/>
          </w:tcPr>
          <w:p w14:paraId="0D44EB63" w14:textId="77777777" w:rsidR="0066562F" w:rsidRPr="00F461C2" w:rsidRDefault="0066562F" w:rsidP="0010511E">
            <w:pPr>
              <w:rPr>
                <w:rFonts w:ascii="Arial" w:hAnsi="Arial" w:cs="Arial"/>
                <w:sz w:val="20"/>
                <w:szCs w:val="20"/>
              </w:rPr>
            </w:pPr>
            <w:r w:rsidRPr="00F461C2">
              <w:rPr>
                <w:rFonts w:ascii="Arial" w:hAnsi="Arial" w:cs="Arial"/>
                <w:sz w:val="20"/>
                <w:szCs w:val="20"/>
              </w:rPr>
              <w:t>Para 5.3</w:t>
            </w:r>
          </w:p>
        </w:tc>
        <w:tc>
          <w:tcPr>
            <w:tcW w:w="4629" w:type="dxa"/>
            <w:shd w:val="clear" w:color="auto" w:fill="auto"/>
          </w:tcPr>
          <w:p w14:paraId="2806FA46" w14:textId="77777777" w:rsidR="0066562F" w:rsidRPr="00F461C2" w:rsidRDefault="0066562F" w:rsidP="0010511E">
            <w:pPr>
              <w:rPr>
                <w:rFonts w:ascii="Arial" w:hAnsi="Arial" w:cs="Arial"/>
                <w:sz w:val="20"/>
                <w:szCs w:val="20"/>
              </w:rPr>
            </w:pPr>
            <w:r w:rsidRPr="00F461C2">
              <w:rPr>
                <w:rFonts w:ascii="Arial" w:hAnsi="Arial" w:cs="Arial"/>
                <w:sz w:val="20"/>
                <w:szCs w:val="20"/>
              </w:rPr>
              <w:t>Add </w:t>
            </w:r>
            <w:r w:rsidRPr="00F461C2">
              <w:rPr>
                <w:rFonts w:ascii="Arial" w:hAnsi="Arial" w:cs="Arial"/>
                <w:i/>
                <w:sz w:val="20"/>
                <w:szCs w:val="20"/>
              </w:rPr>
              <w:t xml:space="preserve">‘Developments should embrace the benefits of healthy outdoor activity and support or supplement the existing network of local </w:t>
            </w:r>
            <w:proofErr w:type="gramStart"/>
            <w:r w:rsidRPr="00F461C2">
              <w:rPr>
                <w:rFonts w:ascii="Arial" w:hAnsi="Arial" w:cs="Arial"/>
                <w:i/>
                <w:sz w:val="20"/>
                <w:szCs w:val="20"/>
              </w:rPr>
              <w:t>facilities’</w:t>
            </w:r>
            <w:proofErr w:type="gramEnd"/>
            <w:r w:rsidRPr="00F461C2">
              <w:rPr>
                <w:rFonts w:ascii="Arial" w:hAnsi="Arial" w:cs="Arial"/>
                <w:sz w:val="20"/>
                <w:szCs w:val="20"/>
              </w:rPr>
              <w:t>.</w:t>
            </w:r>
          </w:p>
        </w:tc>
        <w:tc>
          <w:tcPr>
            <w:tcW w:w="6095" w:type="dxa"/>
            <w:shd w:val="clear" w:color="auto" w:fill="auto"/>
          </w:tcPr>
          <w:p w14:paraId="2EBC29F2" w14:textId="77777777" w:rsidR="0066562F" w:rsidRPr="00F461C2" w:rsidRDefault="0066562F" w:rsidP="0010511E">
            <w:pPr>
              <w:rPr>
                <w:rFonts w:ascii="Arial" w:hAnsi="Arial" w:cs="Arial"/>
                <w:sz w:val="20"/>
                <w:szCs w:val="20"/>
              </w:rPr>
            </w:pPr>
            <w:r w:rsidRPr="00F461C2">
              <w:rPr>
                <w:rFonts w:ascii="Arial" w:hAnsi="Arial" w:cs="Arial"/>
                <w:color w:val="000000"/>
                <w:sz w:val="20"/>
                <w:szCs w:val="20"/>
              </w:rPr>
              <w:t>Comment not accepted. Para 5.3 in the Design Guidance refers to the 6 qualities of successful places set out in the Scottish Government’s Policy Statement, ‘Designing Places’. It would not be appropriate to add to this approved Government Guidance.</w:t>
            </w:r>
          </w:p>
        </w:tc>
      </w:tr>
      <w:tr w:rsidR="0066562F" w:rsidRPr="00F461C2" w14:paraId="4C954B44" w14:textId="77777777" w:rsidTr="0010511E">
        <w:tc>
          <w:tcPr>
            <w:tcW w:w="1646" w:type="dxa"/>
            <w:shd w:val="clear" w:color="auto" w:fill="auto"/>
          </w:tcPr>
          <w:p w14:paraId="75FD9E10" w14:textId="77777777" w:rsidR="0066562F" w:rsidRPr="00F461C2" w:rsidRDefault="0066562F" w:rsidP="0010511E">
            <w:pPr>
              <w:rPr>
                <w:rFonts w:ascii="Arial" w:hAnsi="Arial" w:cs="Arial"/>
                <w:sz w:val="20"/>
                <w:szCs w:val="20"/>
              </w:rPr>
            </w:pPr>
            <w:r w:rsidRPr="00F461C2">
              <w:rPr>
                <w:rFonts w:ascii="Arial" w:hAnsi="Arial" w:cs="Arial"/>
                <w:sz w:val="20"/>
                <w:szCs w:val="20"/>
              </w:rPr>
              <w:t>Sandy Paterson</w:t>
            </w:r>
          </w:p>
        </w:tc>
        <w:tc>
          <w:tcPr>
            <w:tcW w:w="1800" w:type="dxa"/>
            <w:shd w:val="clear" w:color="auto" w:fill="auto"/>
          </w:tcPr>
          <w:p w14:paraId="1DA5C3C6" w14:textId="77777777" w:rsidR="0066562F" w:rsidRPr="00F461C2" w:rsidRDefault="0066562F" w:rsidP="0010511E">
            <w:pPr>
              <w:rPr>
                <w:rFonts w:ascii="Arial" w:hAnsi="Arial" w:cs="Arial"/>
                <w:sz w:val="20"/>
                <w:szCs w:val="20"/>
              </w:rPr>
            </w:pPr>
            <w:r w:rsidRPr="00F461C2">
              <w:rPr>
                <w:rFonts w:ascii="Arial" w:hAnsi="Arial" w:cs="Arial"/>
                <w:sz w:val="20"/>
                <w:szCs w:val="20"/>
              </w:rPr>
              <w:t>Para 5.25</w:t>
            </w:r>
          </w:p>
        </w:tc>
        <w:tc>
          <w:tcPr>
            <w:tcW w:w="4629" w:type="dxa"/>
            <w:shd w:val="clear" w:color="auto" w:fill="auto"/>
          </w:tcPr>
          <w:p w14:paraId="7B54556C" w14:textId="77777777" w:rsidR="0066562F" w:rsidRPr="00F461C2" w:rsidRDefault="0066562F" w:rsidP="0010511E">
            <w:pPr>
              <w:spacing w:before="100" w:beforeAutospacing="1" w:after="100" w:afterAutospacing="1"/>
              <w:rPr>
                <w:rFonts w:ascii="Arial" w:hAnsi="Arial" w:cs="Arial"/>
                <w:sz w:val="20"/>
                <w:szCs w:val="20"/>
              </w:rPr>
            </w:pPr>
            <w:r w:rsidRPr="00F461C2">
              <w:rPr>
                <w:rFonts w:ascii="Arial" w:hAnsi="Arial" w:cs="Arial"/>
                <w:sz w:val="20"/>
                <w:szCs w:val="20"/>
              </w:rPr>
              <w:t>Typo, Amend ‘</w:t>
            </w:r>
            <w:proofErr w:type="spellStart"/>
            <w:r w:rsidRPr="00F461C2">
              <w:rPr>
                <w:rFonts w:ascii="Arial" w:hAnsi="Arial" w:cs="Arial"/>
                <w:sz w:val="20"/>
                <w:szCs w:val="20"/>
              </w:rPr>
              <w:t>waterbourne</w:t>
            </w:r>
            <w:proofErr w:type="spellEnd"/>
            <w:r w:rsidRPr="00F461C2">
              <w:rPr>
                <w:rFonts w:ascii="Arial" w:hAnsi="Arial" w:cs="Arial"/>
                <w:sz w:val="20"/>
                <w:szCs w:val="20"/>
              </w:rPr>
              <w:t xml:space="preserve">’ to ‘waterborne’ </w:t>
            </w:r>
          </w:p>
        </w:tc>
        <w:tc>
          <w:tcPr>
            <w:tcW w:w="6095" w:type="dxa"/>
            <w:shd w:val="clear" w:color="auto" w:fill="auto"/>
          </w:tcPr>
          <w:p w14:paraId="6D5E0FE9"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 This will be corrected.</w:t>
            </w:r>
          </w:p>
        </w:tc>
      </w:tr>
      <w:tr w:rsidR="0066562F" w:rsidRPr="00F461C2" w14:paraId="3A9D3979" w14:textId="77777777" w:rsidTr="0010511E">
        <w:tc>
          <w:tcPr>
            <w:tcW w:w="1646" w:type="dxa"/>
            <w:shd w:val="clear" w:color="auto" w:fill="auto"/>
          </w:tcPr>
          <w:p w14:paraId="16753FA8" w14:textId="77777777" w:rsidR="0066562F" w:rsidRPr="00F461C2" w:rsidRDefault="0066562F" w:rsidP="0010511E">
            <w:pPr>
              <w:rPr>
                <w:rFonts w:ascii="Arial" w:hAnsi="Arial" w:cs="Arial"/>
                <w:sz w:val="20"/>
                <w:szCs w:val="20"/>
              </w:rPr>
            </w:pPr>
            <w:r w:rsidRPr="00F461C2">
              <w:rPr>
                <w:rFonts w:ascii="Arial" w:hAnsi="Arial" w:cs="Arial"/>
                <w:sz w:val="20"/>
                <w:szCs w:val="20"/>
              </w:rPr>
              <w:t>Sandy Paterson</w:t>
            </w:r>
          </w:p>
        </w:tc>
        <w:tc>
          <w:tcPr>
            <w:tcW w:w="1800" w:type="dxa"/>
            <w:shd w:val="clear" w:color="auto" w:fill="auto"/>
          </w:tcPr>
          <w:p w14:paraId="2B17BC3E" w14:textId="77777777" w:rsidR="0066562F" w:rsidRPr="00F461C2" w:rsidRDefault="0066562F" w:rsidP="0010511E">
            <w:pPr>
              <w:rPr>
                <w:rFonts w:ascii="Arial" w:hAnsi="Arial" w:cs="Arial"/>
                <w:sz w:val="20"/>
                <w:szCs w:val="20"/>
              </w:rPr>
            </w:pPr>
            <w:r w:rsidRPr="00F461C2">
              <w:rPr>
                <w:rFonts w:ascii="Arial" w:hAnsi="Arial" w:cs="Arial"/>
                <w:sz w:val="20"/>
                <w:szCs w:val="20"/>
              </w:rPr>
              <w:t>Para 5.50</w:t>
            </w:r>
          </w:p>
        </w:tc>
        <w:tc>
          <w:tcPr>
            <w:tcW w:w="4629" w:type="dxa"/>
            <w:shd w:val="clear" w:color="auto" w:fill="auto"/>
          </w:tcPr>
          <w:p w14:paraId="489D5071" w14:textId="77777777" w:rsidR="0066562F" w:rsidRPr="00F461C2" w:rsidRDefault="0066562F" w:rsidP="0010511E">
            <w:pPr>
              <w:rPr>
                <w:rFonts w:ascii="Arial" w:hAnsi="Arial" w:cs="Arial"/>
                <w:sz w:val="20"/>
                <w:szCs w:val="20"/>
              </w:rPr>
            </w:pPr>
            <w:r w:rsidRPr="00F461C2">
              <w:rPr>
                <w:rFonts w:ascii="Arial" w:hAnsi="Arial" w:cs="Arial"/>
                <w:sz w:val="20"/>
                <w:szCs w:val="20"/>
              </w:rPr>
              <w:t>Add a key to clarify the green lines and brown dots.</w:t>
            </w:r>
          </w:p>
        </w:tc>
        <w:tc>
          <w:tcPr>
            <w:tcW w:w="6095" w:type="dxa"/>
            <w:shd w:val="clear" w:color="auto" w:fill="auto"/>
          </w:tcPr>
          <w:p w14:paraId="5623E88C"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noted. The drawing shows mainly specialised landscape and ecological mitigation features. The purpose of the drawing was to broadly illustrate the concept of enabling development. </w:t>
            </w:r>
            <w:proofErr w:type="gramStart"/>
            <w:r w:rsidRPr="00F461C2">
              <w:rPr>
                <w:rFonts w:ascii="Arial" w:hAnsi="Arial" w:cs="Arial"/>
                <w:sz w:val="20"/>
                <w:szCs w:val="20"/>
              </w:rPr>
              <w:t>However</w:t>
            </w:r>
            <w:proofErr w:type="gramEnd"/>
            <w:r w:rsidRPr="00F461C2">
              <w:rPr>
                <w:rFonts w:ascii="Arial" w:hAnsi="Arial" w:cs="Arial"/>
                <w:sz w:val="20"/>
                <w:szCs w:val="20"/>
              </w:rPr>
              <w:t xml:space="preserve"> given this scheme has stalled it will be replaced by another example in progress (Larbert House). </w:t>
            </w:r>
          </w:p>
        </w:tc>
      </w:tr>
      <w:tr w:rsidR="0066562F" w:rsidRPr="00F461C2" w14:paraId="0FF156CC" w14:textId="77777777" w:rsidTr="0010511E">
        <w:tc>
          <w:tcPr>
            <w:tcW w:w="1646" w:type="dxa"/>
            <w:shd w:val="clear" w:color="auto" w:fill="auto"/>
          </w:tcPr>
          <w:p w14:paraId="3CB29F0A" w14:textId="77777777" w:rsidR="0066562F" w:rsidRPr="00F461C2" w:rsidRDefault="0066562F" w:rsidP="0010511E">
            <w:pPr>
              <w:rPr>
                <w:rFonts w:ascii="Arial" w:hAnsi="Arial" w:cs="Arial"/>
                <w:sz w:val="20"/>
                <w:szCs w:val="20"/>
              </w:rPr>
            </w:pPr>
            <w:r w:rsidRPr="00F461C2">
              <w:rPr>
                <w:rFonts w:ascii="Arial" w:hAnsi="Arial" w:cs="Arial"/>
                <w:sz w:val="20"/>
                <w:szCs w:val="20"/>
              </w:rPr>
              <w:t>Transport Scotland</w:t>
            </w:r>
          </w:p>
        </w:tc>
        <w:tc>
          <w:tcPr>
            <w:tcW w:w="1800" w:type="dxa"/>
            <w:shd w:val="clear" w:color="auto" w:fill="auto"/>
          </w:tcPr>
          <w:p w14:paraId="2B8C126F" w14:textId="77777777" w:rsidR="0066562F" w:rsidRPr="00F461C2" w:rsidRDefault="0066562F" w:rsidP="0010511E">
            <w:pPr>
              <w:rPr>
                <w:rFonts w:ascii="Arial" w:hAnsi="Arial" w:cs="Arial"/>
                <w:sz w:val="20"/>
                <w:szCs w:val="20"/>
              </w:rPr>
            </w:pPr>
            <w:r w:rsidRPr="00F461C2">
              <w:rPr>
                <w:rFonts w:ascii="Arial" w:hAnsi="Arial" w:cs="Arial"/>
                <w:sz w:val="20"/>
                <w:szCs w:val="20"/>
              </w:rPr>
              <w:t>Para 2.8</w:t>
            </w:r>
          </w:p>
        </w:tc>
        <w:tc>
          <w:tcPr>
            <w:tcW w:w="4629" w:type="dxa"/>
            <w:shd w:val="clear" w:color="auto" w:fill="auto"/>
          </w:tcPr>
          <w:p w14:paraId="37ABF0F6"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Reference to engagement with Transport Scotland is recommended for any proposals which may impact upon trunk road network. It would be beneficial for developers to discuss proposals with Transport Scotland who can advise on any potential improvements. </w:t>
            </w:r>
          </w:p>
        </w:tc>
        <w:tc>
          <w:tcPr>
            <w:tcW w:w="6095" w:type="dxa"/>
            <w:shd w:val="clear" w:color="auto" w:fill="auto"/>
          </w:tcPr>
          <w:p w14:paraId="5A47CF87"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accepted. Insert additional sentence at the end of para 2.8 which states </w:t>
            </w:r>
            <w:r w:rsidRPr="00F461C2">
              <w:rPr>
                <w:rFonts w:ascii="Arial" w:hAnsi="Arial" w:cs="Arial"/>
                <w:i/>
                <w:sz w:val="20"/>
                <w:szCs w:val="20"/>
              </w:rPr>
              <w:t xml:space="preserve">‘Where schemes would impact on the trunk road network, developers should discuss their proposals with Transport Scotland who can advise on any potential </w:t>
            </w:r>
            <w:proofErr w:type="gramStart"/>
            <w:r w:rsidRPr="00F461C2">
              <w:rPr>
                <w:rFonts w:ascii="Arial" w:hAnsi="Arial" w:cs="Arial"/>
                <w:i/>
                <w:sz w:val="20"/>
                <w:szCs w:val="20"/>
              </w:rPr>
              <w:t>improvements.‘</w:t>
            </w:r>
            <w:proofErr w:type="gramEnd"/>
            <w:r w:rsidRPr="00F461C2">
              <w:rPr>
                <w:rFonts w:ascii="Arial" w:hAnsi="Arial" w:cs="Arial"/>
                <w:sz w:val="20"/>
                <w:szCs w:val="20"/>
              </w:rPr>
              <w:t xml:space="preserve"> </w:t>
            </w:r>
          </w:p>
        </w:tc>
      </w:tr>
      <w:tr w:rsidR="0066562F" w:rsidRPr="00F461C2" w14:paraId="559F7B9D" w14:textId="77777777" w:rsidTr="0010511E">
        <w:tc>
          <w:tcPr>
            <w:tcW w:w="1646" w:type="dxa"/>
            <w:shd w:val="clear" w:color="auto" w:fill="auto"/>
          </w:tcPr>
          <w:p w14:paraId="389B810A" w14:textId="77777777" w:rsidR="0066562F" w:rsidRPr="00F461C2" w:rsidRDefault="0066562F" w:rsidP="0010511E">
            <w:pPr>
              <w:rPr>
                <w:rFonts w:ascii="Arial" w:hAnsi="Arial" w:cs="Arial"/>
                <w:sz w:val="20"/>
                <w:szCs w:val="20"/>
              </w:rPr>
            </w:pPr>
            <w:r w:rsidRPr="00F461C2">
              <w:rPr>
                <w:rFonts w:ascii="Arial" w:hAnsi="Arial" w:cs="Arial"/>
                <w:color w:val="000000"/>
                <w:sz w:val="20"/>
                <w:szCs w:val="20"/>
              </w:rPr>
              <w:lastRenderedPageBreak/>
              <w:t>NatureScot</w:t>
            </w:r>
          </w:p>
        </w:tc>
        <w:tc>
          <w:tcPr>
            <w:tcW w:w="1800" w:type="dxa"/>
            <w:shd w:val="clear" w:color="auto" w:fill="auto"/>
          </w:tcPr>
          <w:p w14:paraId="40B22790" w14:textId="77777777" w:rsidR="0066562F" w:rsidRPr="00F461C2" w:rsidRDefault="0066562F" w:rsidP="0010511E">
            <w:pPr>
              <w:rPr>
                <w:rFonts w:ascii="Arial" w:hAnsi="Arial" w:cs="Arial"/>
                <w:sz w:val="20"/>
                <w:szCs w:val="20"/>
              </w:rPr>
            </w:pPr>
            <w:r w:rsidRPr="00F461C2">
              <w:rPr>
                <w:rFonts w:ascii="Arial" w:hAnsi="Arial" w:cs="Arial"/>
                <w:sz w:val="20"/>
                <w:szCs w:val="20"/>
              </w:rPr>
              <w:t>General</w:t>
            </w:r>
          </w:p>
        </w:tc>
        <w:tc>
          <w:tcPr>
            <w:tcW w:w="4629" w:type="dxa"/>
            <w:shd w:val="clear" w:color="auto" w:fill="auto"/>
          </w:tcPr>
          <w:p w14:paraId="0DA48B5E" w14:textId="77777777" w:rsidR="0066562F" w:rsidRPr="00F461C2" w:rsidRDefault="0066562F" w:rsidP="0010511E">
            <w:pPr>
              <w:pStyle w:val="Default"/>
              <w:rPr>
                <w:sz w:val="20"/>
                <w:szCs w:val="20"/>
              </w:rPr>
            </w:pPr>
            <w:r w:rsidRPr="00F461C2">
              <w:rPr>
                <w:sz w:val="20"/>
                <w:szCs w:val="20"/>
              </w:rPr>
              <w:t>Support and welcome the content of SG01</w:t>
            </w:r>
          </w:p>
        </w:tc>
        <w:tc>
          <w:tcPr>
            <w:tcW w:w="6095" w:type="dxa"/>
            <w:shd w:val="clear" w:color="auto" w:fill="auto"/>
          </w:tcPr>
          <w:p w14:paraId="7C8356A2"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w:t>
            </w:r>
          </w:p>
        </w:tc>
      </w:tr>
      <w:tr w:rsidR="0066562F" w:rsidRPr="00F461C2" w14:paraId="20F81622" w14:textId="77777777" w:rsidTr="0010511E">
        <w:tc>
          <w:tcPr>
            <w:tcW w:w="1646" w:type="dxa"/>
            <w:shd w:val="clear" w:color="auto" w:fill="auto"/>
          </w:tcPr>
          <w:p w14:paraId="62560C20" w14:textId="77777777" w:rsidR="0066562F" w:rsidRPr="00F461C2" w:rsidRDefault="0066562F" w:rsidP="0010511E">
            <w:pPr>
              <w:rPr>
                <w:rFonts w:ascii="Arial" w:hAnsi="Arial" w:cs="Arial"/>
                <w:sz w:val="20"/>
                <w:szCs w:val="20"/>
              </w:rPr>
            </w:pPr>
            <w:r w:rsidRPr="00F461C2">
              <w:rPr>
                <w:rFonts w:ascii="Arial" w:hAnsi="Arial" w:cs="Arial"/>
                <w:sz w:val="20"/>
                <w:szCs w:val="20"/>
              </w:rPr>
              <w:t>NatureScot</w:t>
            </w:r>
          </w:p>
        </w:tc>
        <w:tc>
          <w:tcPr>
            <w:tcW w:w="1800" w:type="dxa"/>
            <w:shd w:val="clear" w:color="auto" w:fill="auto"/>
          </w:tcPr>
          <w:p w14:paraId="1A1C1C84" w14:textId="77777777" w:rsidR="0066562F" w:rsidRPr="00F461C2" w:rsidRDefault="0066562F" w:rsidP="0010511E">
            <w:pPr>
              <w:rPr>
                <w:rFonts w:ascii="Arial" w:hAnsi="Arial" w:cs="Arial"/>
                <w:sz w:val="20"/>
                <w:szCs w:val="20"/>
              </w:rPr>
            </w:pPr>
            <w:r w:rsidRPr="00F461C2">
              <w:rPr>
                <w:rFonts w:ascii="Arial" w:hAnsi="Arial" w:cs="Arial"/>
                <w:sz w:val="20"/>
                <w:szCs w:val="20"/>
              </w:rPr>
              <w:t>Para 2.9</w:t>
            </w:r>
          </w:p>
        </w:tc>
        <w:tc>
          <w:tcPr>
            <w:tcW w:w="4629" w:type="dxa"/>
            <w:shd w:val="clear" w:color="auto" w:fill="auto"/>
          </w:tcPr>
          <w:p w14:paraId="437EB537" w14:textId="77777777" w:rsidR="0066562F" w:rsidRPr="00F461C2" w:rsidRDefault="0066562F" w:rsidP="0010511E">
            <w:pPr>
              <w:pStyle w:val="Default"/>
              <w:rPr>
                <w:sz w:val="20"/>
                <w:szCs w:val="20"/>
              </w:rPr>
            </w:pPr>
            <w:r w:rsidRPr="00F461C2">
              <w:rPr>
                <w:sz w:val="20"/>
                <w:szCs w:val="20"/>
              </w:rPr>
              <w:t xml:space="preserve">SG provides good context on biodiversity in para 2.9. However, it could be clearer and more directive by highlighting that accommodating the presence of some protected species may require a licence from NatureScot. </w:t>
            </w:r>
          </w:p>
        </w:tc>
        <w:tc>
          <w:tcPr>
            <w:tcW w:w="6095" w:type="dxa"/>
            <w:shd w:val="clear" w:color="auto" w:fill="auto"/>
          </w:tcPr>
          <w:p w14:paraId="6EFAE0D6" w14:textId="77777777" w:rsidR="0066562F" w:rsidRPr="00F461C2" w:rsidRDefault="0066562F" w:rsidP="0010511E">
            <w:pPr>
              <w:rPr>
                <w:rFonts w:ascii="Arial" w:hAnsi="Arial" w:cs="Arial"/>
                <w:sz w:val="20"/>
                <w:szCs w:val="20"/>
              </w:rPr>
            </w:pPr>
            <w:r w:rsidRPr="00F461C2">
              <w:rPr>
                <w:rFonts w:ascii="Arial" w:hAnsi="Arial" w:cs="Arial"/>
                <w:sz w:val="20"/>
                <w:szCs w:val="20"/>
              </w:rPr>
              <w:t>Comment accepted. Insert additional sentence at the end of para 2.9 which states:</w:t>
            </w:r>
          </w:p>
          <w:p w14:paraId="29905420" w14:textId="77777777" w:rsidR="0066562F" w:rsidRPr="00F461C2" w:rsidRDefault="0066562F" w:rsidP="0010511E">
            <w:pPr>
              <w:rPr>
                <w:rFonts w:ascii="Arial" w:hAnsi="Arial" w:cs="Arial"/>
                <w:i/>
                <w:sz w:val="20"/>
                <w:szCs w:val="20"/>
              </w:rPr>
            </w:pPr>
            <w:r w:rsidRPr="00F461C2">
              <w:rPr>
                <w:rFonts w:ascii="Arial" w:hAnsi="Arial" w:cs="Arial"/>
                <w:i/>
                <w:sz w:val="20"/>
                <w:szCs w:val="20"/>
              </w:rPr>
              <w:t>‘Accommodating the presence of some protected species may also require a licence from NatureScot’.</w:t>
            </w:r>
          </w:p>
        </w:tc>
      </w:tr>
      <w:tr w:rsidR="0066562F" w:rsidRPr="00F461C2" w14:paraId="10604E50" w14:textId="77777777" w:rsidTr="0010511E">
        <w:tc>
          <w:tcPr>
            <w:tcW w:w="1646" w:type="dxa"/>
            <w:shd w:val="clear" w:color="auto" w:fill="auto"/>
          </w:tcPr>
          <w:p w14:paraId="6875ED44" w14:textId="77777777" w:rsidR="0066562F" w:rsidRPr="00F461C2" w:rsidRDefault="0066562F" w:rsidP="0010511E">
            <w:pPr>
              <w:rPr>
                <w:rFonts w:ascii="Arial" w:hAnsi="Arial" w:cs="Arial"/>
                <w:sz w:val="20"/>
                <w:szCs w:val="20"/>
              </w:rPr>
            </w:pPr>
            <w:r w:rsidRPr="00F461C2">
              <w:rPr>
                <w:rFonts w:ascii="Arial" w:hAnsi="Arial" w:cs="Arial"/>
                <w:sz w:val="20"/>
                <w:szCs w:val="20"/>
              </w:rPr>
              <w:t>NatureScot</w:t>
            </w:r>
          </w:p>
        </w:tc>
        <w:tc>
          <w:tcPr>
            <w:tcW w:w="1800" w:type="dxa"/>
            <w:shd w:val="clear" w:color="auto" w:fill="auto"/>
          </w:tcPr>
          <w:p w14:paraId="0F1C3E85" w14:textId="77777777" w:rsidR="0066562F" w:rsidRPr="00F461C2" w:rsidRDefault="0066562F" w:rsidP="0010511E">
            <w:pPr>
              <w:rPr>
                <w:rFonts w:ascii="Arial" w:hAnsi="Arial" w:cs="Arial"/>
                <w:sz w:val="20"/>
                <w:szCs w:val="20"/>
              </w:rPr>
            </w:pPr>
            <w:r w:rsidRPr="00F461C2">
              <w:rPr>
                <w:rFonts w:ascii="Arial" w:hAnsi="Arial" w:cs="Arial"/>
                <w:sz w:val="20"/>
                <w:szCs w:val="20"/>
              </w:rPr>
              <w:t>General</w:t>
            </w:r>
          </w:p>
        </w:tc>
        <w:tc>
          <w:tcPr>
            <w:tcW w:w="4629" w:type="dxa"/>
            <w:shd w:val="clear" w:color="auto" w:fill="auto"/>
          </w:tcPr>
          <w:p w14:paraId="49972E9C" w14:textId="77777777" w:rsidR="0066562F" w:rsidRPr="00F461C2" w:rsidRDefault="0066562F" w:rsidP="0010511E">
            <w:pPr>
              <w:pStyle w:val="Default"/>
              <w:rPr>
                <w:sz w:val="20"/>
                <w:szCs w:val="20"/>
              </w:rPr>
            </w:pPr>
            <w:r w:rsidRPr="00F461C2">
              <w:rPr>
                <w:sz w:val="20"/>
                <w:szCs w:val="20"/>
              </w:rPr>
              <w:t xml:space="preserve">The focus on local distinctiveness and unique character in the Design Guidance section of the SG is welcomed. </w:t>
            </w:r>
          </w:p>
        </w:tc>
        <w:tc>
          <w:tcPr>
            <w:tcW w:w="6095" w:type="dxa"/>
            <w:shd w:val="clear" w:color="auto" w:fill="auto"/>
          </w:tcPr>
          <w:p w14:paraId="47E3FCA6"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w:t>
            </w:r>
          </w:p>
        </w:tc>
      </w:tr>
      <w:tr w:rsidR="0066562F" w:rsidRPr="00F461C2" w14:paraId="5346C2B2" w14:textId="77777777" w:rsidTr="0010511E">
        <w:tc>
          <w:tcPr>
            <w:tcW w:w="1646" w:type="dxa"/>
            <w:shd w:val="clear" w:color="auto" w:fill="auto"/>
          </w:tcPr>
          <w:p w14:paraId="59A91D04" w14:textId="77777777" w:rsidR="0066562F" w:rsidRPr="00F461C2" w:rsidRDefault="0066562F" w:rsidP="0010511E">
            <w:pPr>
              <w:rPr>
                <w:rFonts w:ascii="Arial" w:hAnsi="Arial" w:cs="Arial"/>
                <w:sz w:val="20"/>
                <w:szCs w:val="20"/>
              </w:rPr>
            </w:pPr>
            <w:r w:rsidRPr="00F461C2">
              <w:rPr>
                <w:rFonts w:ascii="Arial" w:hAnsi="Arial" w:cs="Arial"/>
                <w:sz w:val="20"/>
                <w:szCs w:val="20"/>
              </w:rPr>
              <w:t>NatureScot</w:t>
            </w:r>
          </w:p>
        </w:tc>
        <w:tc>
          <w:tcPr>
            <w:tcW w:w="1800" w:type="dxa"/>
            <w:shd w:val="clear" w:color="auto" w:fill="auto"/>
          </w:tcPr>
          <w:p w14:paraId="47CB0702" w14:textId="77777777" w:rsidR="0066562F" w:rsidRPr="00F461C2" w:rsidRDefault="0066562F" w:rsidP="0010511E">
            <w:pPr>
              <w:rPr>
                <w:rFonts w:ascii="Arial" w:hAnsi="Arial" w:cs="Arial"/>
                <w:sz w:val="20"/>
                <w:szCs w:val="20"/>
              </w:rPr>
            </w:pPr>
            <w:r w:rsidRPr="00F461C2">
              <w:rPr>
                <w:rFonts w:ascii="Arial" w:hAnsi="Arial" w:cs="Arial"/>
                <w:sz w:val="20"/>
                <w:szCs w:val="20"/>
              </w:rPr>
              <w:t>General</w:t>
            </w:r>
          </w:p>
        </w:tc>
        <w:tc>
          <w:tcPr>
            <w:tcW w:w="4629" w:type="dxa"/>
            <w:shd w:val="clear" w:color="auto" w:fill="auto"/>
          </w:tcPr>
          <w:p w14:paraId="52D8A86C"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Images used are generally helpful to </w:t>
            </w:r>
            <w:proofErr w:type="gramStart"/>
            <w:r w:rsidRPr="00F461C2">
              <w:rPr>
                <w:rFonts w:ascii="Arial" w:hAnsi="Arial" w:cs="Arial"/>
                <w:sz w:val="20"/>
                <w:szCs w:val="20"/>
              </w:rPr>
              <w:t>readers</w:t>
            </w:r>
            <w:proofErr w:type="gramEnd"/>
            <w:r w:rsidRPr="00F461C2">
              <w:rPr>
                <w:rFonts w:ascii="Arial" w:hAnsi="Arial" w:cs="Arial"/>
                <w:sz w:val="20"/>
                <w:szCs w:val="20"/>
              </w:rPr>
              <w:t xml:space="preserve"> but some do not provide a good illustration of the guidance. In some </w:t>
            </w:r>
            <w:proofErr w:type="gramStart"/>
            <w:r w:rsidRPr="00F461C2">
              <w:rPr>
                <w:rFonts w:ascii="Arial" w:hAnsi="Arial" w:cs="Arial"/>
                <w:sz w:val="20"/>
                <w:szCs w:val="20"/>
              </w:rPr>
              <w:t>respects</w:t>
            </w:r>
            <w:proofErr w:type="gramEnd"/>
            <w:r w:rsidRPr="00F461C2">
              <w:rPr>
                <w:rFonts w:ascii="Arial" w:hAnsi="Arial" w:cs="Arial"/>
                <w:sz w:val="20"/>
                <w:szCs w:val="20"/>
              </w:rPr>
              <w:t xml:space="preserve"> this undermines the clearly considered advice. To maintain the quality and usefulness of the document in places it would be better illustrated by drawings rather than photographs.</w:t>
            </w:r>
          </w:p>
        </w:tc>
        <w:tc>
          <w:tcPr>
            <w:tcW w:w="6095" w:type="dxa"/>
            <w:shd w:val="clear" w:color="auto" w:fill="auto"/>
          </w:tcPr>
          <w:p w14:paraId="5CC22920"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noted. Drawings have been used in the document </w:t>
            </w:r>
            <w:proofErr w:type="gramStart"/>
            <w:r w:rsidRPr="00F461C2">
              <w:rPr>
                <w:rFonts w:ascii="Arial" w:hAnsi="Arial" w:cs="Arial"/>
                <w:sz w:val="20"/>
                <w:szCs w:val="20"/>
              </w:rPr>
              <w:t>where</w:t>
            </w:r>
            <w:proofErr w:type="gramEnd"/>
            <w:r w:rsidRPr="00F461C2">
              <w:rPr>
                <w:rFonts w:ascii="Arial" w:hAnsi="Arial" w:cs="Arial"/>
                <w:sz w:val="20"/>
                <w:szCs w:val="20"/>
              </w:rPr>
              <w:t xml:space="preserve"> considered pertinent. Given resource constraints photos have been used to illustrate the guidance where appropriate. </w:t>
            </w:r>
          </w:p>
          <w:p w14:paraId="1FB08E10" w14:textId="77777777" w:rsidR="0066562F" w:rsidRPr="00F461C2" w:rsidRDefault="0066562F" w:rsidP="0010511E">
            <w:pPr>
              <w:rPr>
                <w:rFonts w:ascii="Arial" w:hAnsi="Arial" w:cs="Arial"/>
                <w:sz w:val="20"/>
                <w:szCs w:val="20"/>
              </w:rPr>
            </w:pPr>
            <w:r w:rsidRPr="00F461C2">
              <w:rPr>
                <w:rFonts w:ascii="Arial" w:hAnsi="Arial" w:cs="Arial"/>
                <w:sz w:val="20"/>
                <w:szCs w:val="20"/>
              </w:rPr>
              <w:t>NatureScot do not specifically identify where a drawing rather than photo would better illustrate the guidance.</w:t>
            </w:r>
          </w:p>
        </w:tc>
      </w:tr>
      <w:tr w:rsidR="0066562F" w:rsidRPr="00F461C2" w14:paraId="4B3D2B57" w14:textId="77777777" w:rsidTr="0010511E">
        <w:tc>
          <w:tcPr>
            <w:tcW w:w="1646" w:type="dxa"/>
            <w:shd w:val="clear" w:color="auto" w:fill="auto"/>
          </w:tcPr>
          <w:p w14:paraId="5CA7FA0F" w14:textId="77777777" w:rsidR="0066562F" w:rsidRPr="00F461C2" w:rsidRDefault="0066562F" w:rsidP="0010511E">
            <w:pPr>
              <w:rPr>
                <w:rFonts w:ascii="Arial" w:hAnsi="Arial" w:cs="Arial"/>
                <w:sz w:val="20"/>
                <w:szCs w:val="20"/>
              </w:rPr>
            </w:pPr>
            <w:r w:rsidRPr="00F461C2">
              <w:rPr>
                <w:rFonts w:ascii="Arial" w:hAnsi="Arial" w:cs="Arial"/>
                <w:sz w:val="20"/>
                <w:szCs w:val="20"/>
              </w:rPr>
              <w:t>SEPA</w:t>
            </w:r>
          </w:p>
        </w:tc>
        <w:tc>
          <w:tcPr>
            <w:tcW w:w="1800" w:type="dxa"/>
            <w:shd w:val="clear" w:color="auto" w:fill="auto"/>
          </w:tcPr>
          <w:p w14:paraId="3330F1A9" w14:textId="77777777" w:rsidR="0066562F" w:rsidRPr="00F461C2" w:rsidRDefault="0066562F" w:rsidP="0010511E">
            <w:pPr>
              <w:rPr>
                <w:rFonts w:ascii="Arial" w:hAnsi="Arial" w:cs="Arial"/>
                <w:sz w:val="20"/>
                <w:szCs w:val="20"/>
              </w:rPr>
            </w:pPr>
            <w:r w:rsidRPr="00F461C2">
              <w:rPr>
                <w:rFonts w:ascii="Arial" w:hAnsi="Arial" w:cs="Arial"/>
                <w:sz w:val="20"/>
                <w:szCs w:val="20"/>
              </w:rPr>
              <w:t>General</w:t>
            </w:r>
          </w:p>
        </w:tc>
        <w:tc>
          <w:tcPr>
            <w:tcW w:w="4629" w:type="dxa"/>
            <w:shd w:val="clear" w:color="auto" w:fill="auto"/>
          </w:tcPr>
          <w:p w14:paraId="77B39C8F" w14:textId="77777777" w:rsidR="0066562F" w:rsidRPr="00F461C2" w:rsidRDefault="0066562F" w:rsidP="0010511E">
            <w:pPr>
              <w:widowControl w:val="0"/>
              <w:rPr>
                <w:rFonts w:ascii="Arial" w:hAnsi="Arial" w:cs="Arial"/>
                <w:sz w:val="20"/>
                <w:szCs w:val="20"/>
              </w:rPr>
            </w:pPr>
            <w:r w:rsidRPr="00F461C2">
              <w:rPr>
                <w:rFonts w:ascii="Arial" w:hAnsi="Arial" w:cs="Arial"/>
                <w:sz w:val="20"/>
                <w:szCs w:val="20"/>
              </w:rPr>
              <w:t xml:space="preserve">Main concerns are flood risk, cumulative drainage impacts from private drainage where there is limited or no public sewer, watercourse engineering and water dependent habitats.  Strong preference that explicit reference be made to these matters in SG01 however we acknowledge that these matters are covered to our satisfaction within LDP2.  </w:t>
            </w:r>
          </w:p>
        </w:tc>
        <w:tc>
          <w:tcPr>
            <w:tcW w:w="6095" w:type="dxa"/>
            <w:shd w:val="clear" w:color="auto" w:fill="auto"/>
          </w:tcPr>
          <w:p w14:paraId="408A14AF" w14:textId="77777777" w:rsidR="0066562F" w:rsidRPr="00F461C2" w:rsidRDefault="0066562F" w:rsidP="0010511E">
            <w:pPr>
              <w:pStyle w:val="CommentText"/>
              <w:rPr>
                <w:rFonts w:ascii="Arial" w:hAnsi="Arial" w:cs="Arial"/>
              </w:rPr>
            </w:pPr>
            <w:r w:rsidRPr="00F461C2">
              <w:rPr>
                <w:rFonts w:ascii="Arial" w:hAnsi="Arial" w:cs="Arial"/>
              </w:rPr>
              <w:t xml:space="preserve">Comment accepted. Insert additional para numbered 2.10 entitled </w:t>
            </w:r>
            <w:proofErr w:type="gramStart"/>
            <w:r w:rsidRPr="00F461C2">
              <w:rPr>
                <w:rFonts w:ascii="Arial" w:hAnsi="Arial" w:cs="Arial"/>
              </w:rPr>
              <w:t>‘ Flooding</w:t>
            </w:r>
            <w:proofErr w:type="gramEnd"/>
            <w:r w:rsidRPr="00F461C2">
              <w:rPr>
                <w:rFonts w:ascii="Arial" w:hAnsi="Arial" w:cs="Arial"/>
              </w:rPr>
              <w:t>, Drainage and the Water Environment’ which states:</w:t>
            </w:r>
          </w:p>
          <w:p w14:paraId="0C48456F" w14:textId="77777777" w:rsidR="0066562F" w:rsidRPr="00F461C2" w:rsidRDefault="0066562F" w:rsidP="0010511E">
            <w:pPr>
              <w:pStyle w:val="CommentText"/>
              <w:rPr>
                <w:rFonts w:ascii="Arial" w:hAnsi="Arial" w:cs="Arial"/>
                <w:b/>
                <w:i/>
              </w:rPr>
            </w:pPr>
            <w:r w:rsidRPr="00F461C2">
              <w:rPr>
                <w:rFonts w:ascii="Arial" w:hAnsi="Arial" w:cs="Arial"/>
                <w:b/>
                <w:i/>
              </w:rPr>
              <w:t>‘Flooding, Drainage and the Water Environment</w:t>
            </w:r>
          </w:p>
          <w:p w14:paraId="4B9C6E38" w14:textId="77777777" w:rsidR="0066562F" w:rsidRPr="00F461C2" w:rsidRDefault="0066562F" w:rsidP="0010511E">
            <w:pPr>
              <w:rPr>
                <w:rFonts w:ascii="Arial" w:hAnsi="Arial" w:cs="Arial"/>
                <w:sz w:val="20"/>
                <w:szCs w:val="20"/>
              </w:rPr>
            </w:pPr>
            <w:r w:rsidRPr="00F461C2">
              <w:rPr>
                <w:rFonts w:ascii="Arial" w:hAnsi="Arial" w:cs="Arial"/>
                <w:i/>
                <w:sz w:val="20"/>
                <w:szCs w:val="20"/>
              </w:rPr>
              <w:t>Development in the countryside will frequently have implications for the water environment, through impact on watercourses and other water bodies. The requirements of Policy PE22 should be addressed. Proposals should be checked for flood risk and where this is an issue, Policy PE24 should be complied with and, where necessary, a flood risk assessment prepared. The provision of drainage infrastructure should address the requirements of Policy IR10.’</w:t>
            </w:r>
          </w:p>
        </w:tc>
      </w:tr>
      <w:tr w:rsidR="0066562F" w:rsidRPr="00F461C2" w14:paraId="140DBE9D" w14:textId="77777777" w:rsidTr="0010511E">
        <w:tc>
          <w:tcPr>
            <w:tcW w:w="1646" w:type="dxa"/>
            <w:shd w:val="clear" w:color="auto" w:fill="auto"/>
          </w:tcPr>
          <w:p w14:paraId="04B49003" w14:textId="77777777" w:rsidR="0066562F" w:rsidRPr="00F461C2" w:rsidRDefault="0066562F" w:rsidP="0010511E">
            <w:pPr>
              <w:rPr>
                <w:rFonts w:ascii="Arial" w:hAnsi="Arial" w:cs="Arial"/>
                <w:sz w:val="20"/>
                <w:szCs w:val="20"/>
              </w:rPr>
            </w:pPr>
            <w:r w:rsidRPr="00F461C2">
              <w:rPr>
                <w:rFonts w:ascii="Arial" w:hAnsi="Arial" w:cs="Arial"/>
                <w:sz w:val="20"/>
                <w:szCs w:val="20"/>
              </w:rPr>
              <w:t>SEPA</w:t>
            </w:r>
          </w:p>
        </w:tc>
        <w:tc>
          <w:tcPr>
            <w:tcW w:w="1800" w:type="dxa"/>
            <w:shd w:val="clear" w:color="auto" w:fill="auto"/>
          </w:tcPr>
          <w:p w14:paraId="1E0569AE" w14:textId="77777777" w:rsidR="0066562F" w:rsidRPr="00F461C2" w:rsidRDefault="0066562F" w:rsidP="0010511E">
            <w:pPr>
              <w:rPr>
                <w:rFonts w:ascii="Arial" w:hAnsi="Arial" w:cs="Arial"/>
                <w:sz w:val="20"/>
                <w:szCs w:val="20"/>
              </w:rPr>
            </w:pPr>
            <w:r w:rsidRPr="00F461C2">
              <w:rPr>
                <w:rFonts w:ascii="Arial" w:hAnsi="Arial" w:cs="Arial"/>
                <w:sz w:val="20"/>
                <w:szCs w:val="20"/>
              </w:rPr>
              <w:t>Appendix 1</w:t>
            </w:r>
          </w:p>
        </w:tc>
        <w:tc>
          <w:tcPr>
            <w:tcW w:w="4629" w:type="dxa"/>
            <w:shd w:val="clear" w:color="auto" w:fill="auto"/>
          </w:tcPr>
          <w:p w14:paraId="50B40097" w14:textId="77777777" w:rsidR="0066562F" w:rsidRPr="00F461C2" w:rsidRDefault="0066562F" w:rsidP="0010511E">
            <w:pPr>
              <w:widowControl w:val="0"/>
              <w:rPr>
                <w:rFonts w:ascii="Arial" w:hAnsi="Arial" w:cs="Arial"/>
                <w:sz w:val="20"/>
                <w:szCs w:val="20"/>
              </w:rPr>
            </w:pPr>
            <w:r w:rsidRPr="00F461C2">
              <w:rPr>
                <w:rFonts w:ascii="Arial" w:hAnsi="Arial" w:cs="Arial"/>
                <w:sz w:val="20"/>
                <w:szCs w:val="20"/>
              </w:rPr>
              <w:t xml:space="preserve">Concerned that list does not include </w:t>
            </w:r>
            <w:proofErr w:type="gramStart"/>
            <w:r w:rsidRPr="00F461C2">
              <w:rPr>
                <w:rFonts w:ascii="Arial" w:hAnsi="Arial" w:cs="Arial"/>
                <w:sz w:val="20"/>
                <w:szCs w:val="20"/>
              </w:rPr>
              <w:t>a number of</w:t>
            </w:r>
            <w:proofErr w:type="gramEnd"/>
            <w:r w:rsidRPr="00F461C2">
              <w:rPr>
                <w:rFonts w:ascii="Arial" w:hAnsi="Arial" w:cs="Arial"/>
                <w:sz w:val="20"/>
                <w:szCs w:val="20"/>
              </w:rPr>
              <w:t xml:space="preserve"> policies which would be relevant to assessing proposals.  These include policies PE14, PE16, PE17, PE22 and IR14. </w:t>
            </w:r>
            <w:r w:rsidRPr="00F461C2">
              <w:rPr>
                <w:rFonts w:ascii="Arial" w:hAnsi="Arial" w:cs="Arial"/>
                <w:bCs/>
                <w:sz w:val="20"/>
                <w:szCs w:val="20"/>
              </w:rPr>
              <w:t>Strongly recommend</w:t>
            </w:r>
            <w:r w:rsidRPr="00F461C2">
              <w:rPr>
                <w:rFonts w:ascii="Arial" w:hAnsi="Arial" w:cs="Arial"/>
                <w:b/>
                <w:bCs/>
                <w:sz w:val="20"/>
                <w:szCs w:val="20"/>
              </w:rPr>
              <w:t xml:space="preserve"> </w:t>
            </w:r>
            <w:r w:rsidRPr="00F461C2">
              <w:rPr>
                <w:rFonts w:ascii="Arial" w:hAnsi="Arial" w:cs="Arial"/>
                <w:sz w:val="20"/>
                <w:szCs w:val="20"/>
              </w:rPr>
              <w:t xml:space="preserve">Appendix 1 is either amended to include all relevant </w:t>
            </w:r>
            <w:proofErr w:type="gramStart"/>
            <w:r w:rsidRPr="00F461C2">
              <w:rPr>
                <w:rFonts w:ascii="Arial" w:hAnsi="Arial" w:cs="Arial"/>
                <w:sz w:val="20"/>
                <w:szCs w:val="20"/>
              </w:rPr>
              <w:t>policies, or</w:t>
            </w:r>
            <w:proofErr w:type="gramEnd"/>
            <w:r w:rsidRPr="00F461C2">
              <w:rPr>
                <w:rFonts w:ascii="Arial" w:hAnsi="Arial" w:cs="Arial"/>
                <w:sz w:val="20"/>
                <w:szCs w:val="20"/>
              </w:rPr>
              <w:t xml:space="preserve"> is deleted on the basis that all adopted LDP2 policies are potentially applicable and to include a selection at Appendix 1 may be misleading which policies are relevant. </w:t>
            </w:r>
          </w:p>
        </w:tc>
        <w:tc>
          <w:tcPr>
            <w:tcW w:w="6095" w:type="dxa"/>
            <w:shd w:val="clear" w:color="auto" w:fill="auto"/>
          </w:tcPr>
          <w:p w14:paraId="24878C88"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accepted. Applicants need to be aware of all other policies in LDP2 as it could be confusing by just referencing some of them. </w:t>
            </w:r>
            <w:proofErr w:type="gramStart"/>
            <w:r w:rsidRPr="00F461C2">
              <w:rPr>
                <w:rFonts w:ascii="Arial" w:hAnsi="Arial" w:cs="Arial"/>
                <w:sz w:val="20"/>
                <w:szCs w:val="20"/>
              </w:rPr>
              <w:t>Accordingly</w:t>
            </w:r>
            <w:proofErr w:type="gramEnd"/>
            <w:r w:rsidRPr="00F461C2">
              <w:rPr>
                <w:rFonts w:ascii="Arial" w:hAnsi="Arial" w:cs="Arial"/>
                <w:sz w:val="20"/>
                <w:szCs w:val="20"/>
              </w:rPr>
              <w:t xml:space="preserve"> Appendix 1 is removed and para 2.5 and 2.6 are amended to take out reference to HC06, PE18 and PE19, with additional text added to para 2.6 which states:</w:t>
            </w:r>
          </w:p>
          <w:p w14:paraId="7F26F18E" w14:textId="77777777" w:rsidR="0066562F" w:rsidRPr="00F461C2" w:rsidRDefault="0066562F" w:rsidP="0010511E">
            <w:pPr>
              <w:rPr>
                <w:rFonts w:ascii="Arial" w:hAnsi="Arial" w:cs="Arial"/>
                <w:i/>
                <w:sz w:val="20"/>
                <w:szCs w:val="20"/>
              </w:rPr>
            </w:pPr>
            <w:r w:rsidRPr="00F461C2">
              <w:rPr>
                <w:rFonts w:ascii="Arial" w:hAnsi="Arial" w:cs="Arial"/>
                <w:i/>
                <w:sz w:val="20"/>
                <w:szCs w:val="20"/>
              </w:rPr>
              <w:t xml:space="preserve">‘These key policies are supported by </w:t>
            </w:r>
            <w:proofErr w:type="gramStart"/>
            <w:r w:rsidRPr="00F461C2">
              <w:rPr>
                <w:rFonts w:ascii="Arial" w:hAnsi="Arial" w:cs="Arial"/>
                <w:i/>
                <w:sz w:val="20"/>
                <w:szCs w:val="20"/>
              </w:rPr>
              <w:t>a number of</w:t>
            </w:r>
            <w:proofErr w:type="gramEnd"/>
            <w:r w:rsidRPr="00F461C2">
              <w:rPr>
                <w:rFonts w:ascii="Arial" w:hAnsi="Arial" w:cs="Arial"/>
                <w:i/>
                <w:sz w:val="20"/>
                <w:szCs w:val="20"/>
              </w:rPr>
              <w:t xml:space="preserve"> general environmental and planning policies which may also apply depending on the circumstances of the individual proposal. Applicants should ensure that they address the requirements of these other policies.’</w:t>
            </w:r>
          </w:p>
        </w:tc>
      </w:tr>
      <w:tr w:rsidR="0066562F" w:rsidRPr="00F461C2" w14:paraId="504A1AEB" w14:textId="77777777" w:rsidTr="0010511E">
        <w:tc>
          <w:tcPr>
            <w:tcW w:w="1646" w:type="dxa"/>
            <w:shd w:val="clear" w:color="auto" w:fill="auto"/>
          </w:tcPr>
          <w:p w14:paraId="6E564168" w14:textId="77777777" w:rsidR="0066562F" w:rsidRPr="00F461C2" w:rsidRDefault="0066562F" w:rsidP="0010511E">
            <w:pPr>
              <w:rPr>
                <w:rFonts w:ascii="Arial" w:hAnsi="Arial" w:cs="Arial"/>
                <w:sz w:val="20"/>
                <w:szCs w:val="20"/>
              </w:rPr>
            </w:pPr>
            <w:r w:rsidRPr="00F461C2">
              <w:rPr>
                <w:rFonts w:ascii="Arial" w:hAnsi="Arial" w:cs="Arial"/>
                <w:sz w:val="20"/>
                <w:szCs w:val="20"/>
              </w:rPr>
              <w:t>Scottish Water</w:t>
            </w:r>
          </w:p>
        </w:tc>
        <w:tc>
          <w:tcPr>
            <w:tcW w:w="1800" w:type="dxa"/>
            <w:shd w:val="clear" w:color="auto" w:fill="auto"/>
          </w:tcPr>
          <w:p w14:paraId="7E1831B5" w14:textId="77777777" w:rsidR="0066562F" w:rsidRPr="00F461C2" w:rsidRDefault="0066562F" w:rsidP="0010511E">
            <w:pPr>
              <w:rPr>
                <w:rFonts w:ascii="Arial" w:hAnsi="Arial" w:cs="Arial"/>
                <w:sz w:val="20"/>
                <w:szCs w:val="20"/>
              </w:rPr>
            </w:pPr>
            <w:r w:rsidRPr="00F461C2">
              <w:rPr>
                <w:rFonts w:ascii="Arial" w:hAnsi="Arial" w:cs="Arial"/>
                <w:sz w:val="20"/>
                <w:szCs w:val="20"/>
              </w:rPr>
              <w:t>General</w:t>
            </w:r>
          </w:p>
        </w:tc>
        <w:tc>
          <w:tcPr>
            <w:tcW w:w="4629" w:type="dxa"/>
            <w:shd w:val="clear" w:color="auto" w:fill="auto"/>
          </w:tcPr>
          <w:p w14:paraId="0137E192" w14:textId="77777777" w:rsidR="0066562F" w:rsidRPr="00F461C2" w:rsidRDefault="0066562F" w:rsidP="0010511E">
            <w:pPr>
              <w:autoSpaceDE w:val="0"/>
              <w:autoSpaceDN w:val="0"/>
              <w:adjustRightInd w:val="0"/>
              <w:rPr>
                <w:rFonts w:ascii="Arial" w:hAnsi="Arial" w:cs="Arial"/>
                <w:color w:val="000000"/>
                <w:sz w:val="20"/>
                <w:szCs w:val="20"/>
              </w:rPr>
            </w:pPr>
            <w:r w:rsidRPr="00F461C2">
              <w:rPr>
                <w:rFonts w:ascii="Arial" w:hAnsi="Arial" w:cs="Arial"/>
                <w:color w:val="000000"/>
                <w:sz w:val="20"/>
                <w:szCs w:val="20"/>
              </w:rPr>
              <w:t>No specific comments on SG, however early engagement with Scottish Water is always</w:t>
            </w:r>
          </w:p>
          <w:p w14:paraId="57D55868" w14:textId="77777777" w:rsidR="0066562F" w:rsidRPr="00F461C2" w:rsidRDefault="0066562F" w:rsidP="0010511E">
            <w:pPr>
              <w:autoSpaceDE w:val="0"/>
              <w:autoSpaceDN w:val="0"/>
              <w:adjustRightInd w:val="0"/>
              <w:rPr>
                <w:rFonts w:ascii="Arial" w:hAnsi="Arial" w:cs="Arial"/>
                <w:color w:val="000000"/>
                <w:sz w:val="20"/>
                <w:szCs w:val="20"/>
              </w:rPr>
            </w:pPr>
            <w:r w:rsidRPr="00F461C2">
              <w:rPr>
                <w:rFonts w:ascii="Arial" w:hAnsi="Arial" w:cs="Arial"/>
                <w:color w:val="000000"/>
                <w:sz w:val="20"/>
                <w:szCs w:val="20"/>
              </w:rPr>
              <w:t xml:space="preserve">encouraged so the developer understands where the nearest water and sewer infrastructure is in relation to their development. This can be found </w:t>
            </w:r>
            <w:r w:rsidRPr="00F461C2">
              <w:rPr>
                <w:rFonts w:ascii="Arial" w:hAnsi="Arial" w:cs="Arial"/>
                <w:color w:val="000000"/>
                <w:sz w:val="20"/>
                <w:szCs w:val="20"/>
              </w:rPr>
              <w:lastRenderedPageBreak/>
              <w:t xml:space="preserve">out by submitting a </w:t>
            </w:r>
            <w:proofErr w:type="spellStart"/>
            <w:r w:rsidRPr="00F461C2">
              <w:rPr>
                <w:rFonts w:ascii="Arial" w:hAnsi="Arial" w:cs="Arial"/>
                <w:color w:val="000000"/>
                <w:sz w:val="20"/>
                <w:szCs w:val="20"/>
              </w:rPr>
              <w:t>PreDevelopment</w:t>
            </w:r>
            <w:proofErr w:type="spellEnd"/>
            <w:r w:rsidRPr="00F461C2">
              <w:rPr>
                <w:rFonts w:ascii="Arial" w:hAnsi="Arial" w:cs="Arial"/>
                <w:color w:val="000000"/>
                <w:sz w:val="20"/>
                <w:szCs w:val="20"/>
              </w:rPr>
              <w:t xml:space="preserve"> Enquiry Form via our online Portal, </w:t>
            </w:r>
            <w:r w:rsidRPr="00F30D12">
              <w:rPr>
                <w:rFonts w:ascii="Arial" w:hAnsi="Arial" w:cs="Arial"/>
                <w:sz w:val="20"/>
                <w:szCs w:val="20"/>
              </w:rPr>
              <w:t>www.scottishwater.co.uk/portal,</w:t>
            </w:r>
            <w:r w:rsidRPr="00F461C2">
              <w:rPr>
                <w:rFonts w:ascii="Arial" w:hAnsi="Arial" w:cs="Arial"/>
                <w:color w:val="000000"/>
                <w:sz w:val="20"/>
                <w:szCs w:val="20"/>
              </w:rPr>
              <w:t xml:space="preserve"> which is a free service.</w:t>
            </w:r>
          </w:p>
        </w:tc>
        <w:tc>
          <w:tcPr>
            <w:tcW w:w="6095" w:type="dxa"/>
            <w:shd w:val="clear" w:color="auto" w:fill="auto"/>
          </w:tcPr>
          <w:p w14:paraId="2EAD7ABB"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Comment accepted. Add contact information to Appendix 2 – Useful Contacts.</w:t>
            </w:r>
          </w:p>
        </w:tc>
      </w:tr>
      <w:tr w:rsidR="0066562F" w:rsidRPr="00F461C2" w14:paraId="4BA7D579" w14:textId="77777777" w:rsidTr="0010511E">
        <w:tc>
          <w:tcPr>
            <w:tcW w:w="1646" w:type="dxa"/>
            <w:shd w:val="clear" w:color="auto" w:fill="auto"/>
          </w:tcPr>
          <w:p w14:paraId="45F7920C" w14:textId="77777777" w:rsidR="0066562F" w:rsidRPr="00F461C2" w:rsidRDefault="0066562F" w:rsidP="0010511E">
            <w:pPr>
              <w:rPr>
                <w:rFonts w:ascii="Arial" w:hAnsi="Arial" w:cs="Arial"/>
                <w:sz w:val="20"/>
                <w:szCs w:val="20"/>
              </w:rPr>
            </w:pPr>
            <w:r w:rsidRPr="00F461C2">
              <w:rPr>
                <w:rFonts w:ascii="Arial" w:hAnsi="Arial" w:cs="Arial"/>
                <w:sz w:val="20"/>
                <w:szCs w:val="20"/>
              </w:rPr>
              <w:t>Development and Environmental Services Limited</w:t>
            </w:r>
          </w:p>
          <w:p w14:paraId="45AAA6AF" w14:textId="77777777" w:rsidR="0066562F" w:rsidRPr="00F461C2" w:rsidRDefault="0066562F" w:rsidP="0010511E">
            <w:pPr>
              <w:rPr>
                <w:rFonts w:ascii="Arial" w:hAnsi="Arial" w:cs="Arial"/>
                <w:sz w:val="20"/>
                <w:szCs w:val="20"/>
              </w:rPr>
            </w:pPr>
          </w:p>
        </w:tc>
        <w:tc>
          <w:tcPr>
            <w:tcW w:w="1800" w:type="dxa"/>
            <w:shd w:val="clear" w:color="auto" w:fill="auto"/>
          </w:tcPr>
          <w:p w14:paraId="3EC956A0" w14:textId="77777777" w:rsidR="0066562F" w:rsidRPr="00F461C2" w:rsidRDefault="0066562F" w:rsidP="0010511E">
            <w:pPr>
              <w:rPr>
                <w:rFonts w:ascii="Arial" w:hAnsi="Arial" w:cs="Arial"/>
                <w:sz w:val="20"/>
                <w:szCs w:val="20"/>
              </w:rPr>
            </w:pPr>
            <w:r w:rsidRPr="00F461C2">
              <w:rPr>
                <w:rFonts w:ascii="Arial" w:hAnsi="Arial" w:cs="Arial"/>
                <w:sz w:val="20"/>
                <w:szCs w:val="20"/>
              </w:rPr>
              <w:t>Page 7</w:t>
            </w:r>
          </w:p>
        </w:tc>
        <w:tc>
          <w:tcPr>
            <w:tcW w:w="4629" w:type="dxa"/>
            <w:shd w:val="clear" w:color="auto" w:fill="auto"/>
          </w:tcPr>
          <w:p w14:paraId="4D0D03CD"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Remove the words “substantially intact but”; and remove first bullet point worded “The existing house is substantially intact”.  </w:t>
            </w:r>
            <w:r w:rsidRPr="00F461C2">
              <w:rPr>
                <w:rFonts w:ascii="Arial" w:hAnsi="Arial" w:cs="Arial"/>
                <w:bCs/>
                <w:sz w:val="20"/>
                <w:szCs w:val="20"/>
              </w:rPr>
              <w:t>W</w:t>
            </w:r>
            <w:r w:rsidRPr="00F461C2">
              <w:rPr>
                <w:rFonts w:ascii="Arial" w:hAnsi="Arial" w:cs="Arial"/>
                <w:sz w:val="20"/>
                <w:szCs w:val="20"/>
              </w:rPr>
              <w:t>hilst it is logical to require a house that is to be restored to be substantially intact (with the SPG definition being - “external walls and gables intact and structurally sound”),</w:t>
            </w:r>
            <w:r w:rsidRPr="00F461C2">
              <w:rPr>
                <w:rFonts w:ascii="Arial" w:hAnsi="Arial" w:cs="Arial"/>
                <w:bCs/>
                <w:sz w:val="20"/>
                <w:szCs w:val="20"/>
              </w:rPr>
              <w:t xml:space="preserve"> it is totally illogical to require a house that is to be replaced (i.e. demolished) to be substantially intact. The requirement is restrictive and unnecessary.</w:t>
            </w:r>
            <w:r w:rsidRPr="00F461C2">
              <w:rPr>
                <w:rFonts w:ascii="Arial" w:hAnsi="Arial" w:cs="Arial"/>
                <w:sz w:val="20"/>
                <w:szCs w:val="20"/>
              </w:rPr>
              <w:t xml:space="preserve"> </w:t>
            </w:r>
          </w:p>
        </w:tc>
        <w:tc>
          <w:tcPr>
            <w:tcW w:w="6095" w:type="dxa"/>
            <w:shd w:val="clear" w:color="auto" w:fill="auto"/>
          </w:tcPr>
          <w:p w14:paraId="0757BAD9"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 accepted. The phrase ‘substantially intact’ reflects the wording contained in LDP2 Policy HC05 Housing in the Countryside. This wording was considered at the recent Examination into LDP2 and upheld. The wording gives clarity that a house has to be still recognisable as a house </w:t>
            </w:r>
            <w:proofErr w:type="gramStart"/>
            <w:r w:rsidRPr="00F461C2">
              <w:rPr>
                <w:rFonts w:ascii="Arial" w:hAnsi="Arial" w:cs="Arial"/>
                <w:sz w:val="20"/>
                <w:szCs w:val="20"/>
              </w:rPr>
              <w:t>in order to</w:t>
            </w:r>
            <w:proofErr w:type="gramEnd"/>
            <w:r w:rsidRPr="00F461C2">
              <w:rPr>
                <w:rFonts w:ascii="Arial" w:hAnsi="Arial" w:cs="Arial"/>
                <w:sz w:val="20"/>
                <w:szCs w:val="20"/>
              </w:rPr>
              <w:t xml:space="preserve"> be replaced. The policy is not intended to extend to a site where a house previously </w:t>
            </w:r>
            <w:proofErr w:type="gramStart"/>
            <w:r w:rsidRPr="00F461C2">
              <w:rPr>
                <w:rFonts w:ascii="Arial" w:hAnsi="Arial" w:cs="Arial"/>
                <w:sz w:val="20"/>
                <w:szCs w:val="20"/>
              </w:rPr>
              <w:t>existed</w:t>
            </w:r>
            <w:proofErr w:type="gramEnd"/>
            <w:r w:rsidRPr="00F461C2">
              <w:rPr>
                <w:rFonts w:ascii="Arial" w:hAnsi="Arial" w:cs="Arial"/>
                <w:sz w:val="20"/>
                <w:szCs w:val="20"/>
              </w:rPr>
              <w:t xml:space="preserve"> but the structure has been largely or totally removed.</w:t>
            </w:r>
          </w:p>
        </w:tc>
      </w:tr>
      <w:tr w:rsidR="0066562F" w:rsidRPr="00F461C2" w14:paraId="7DCA1A3E" w14:textId="77777777" w:rsidTr="0010511E">
        <w:tc>
          <w:tcPr>
            <w:tcW w:w="1646" w:type="dxa"/>
            <w:shd w:val="clear" w:color="auto" w:fill="auto"/>
          </w:tcPr>
          <w:p w14:paraId="00B5571B" w14:textId="77777777" w:rsidR="0066562F" w:rsidRPr="00F461C2" w:rsidRDefault="0066562F" w:rsidP="0010511E">
            <w:pPr>
              <w:rPr>
                <w:rFonts w:ascii="Arial" w:hAnsi="Arial" w:cs="Arial"/>
                <w:sz w:val="20"/>
                <w:szCs w:val="20"/>
              </w:rPr>
            </w:pPr>
            <w:r w:rsidRPr="00F461C2">
              <w:rPr>
                <w:rFonts w:ascii="Arial" w:hAnsi="Arial" w:cs="Arial"/>
                <w:sz w:val="20"/>
                <w:szCs w:val="20"/>
              </w:rPr>
              <w:t>Development and Environmental Services Limited</w:t>
            </w:r>
          </w:p>
          <w:p w14:paraId="47DB599C" w14:textId="77777777" w:rsidR="0066562F" w:rsidRPr="00F461C2" w:rsidRDefault="0066562F" w:rsidP="0010511E">
            <w:pPr>
              <w:rPr>
                <w:rFonts w:ascii="Arial" w:hAnsi="Arial" w:cs="Arial"/>
                <w:sz w:val="20"/>
                <w:szCs w:val="20"/>
              </w:rPr>
            </w:pPr>
          </w:p>
        </w:tc>
        <w:tc>
          <w:tcPr>
            <w:tcW w:w="1800" w:type="dxa"/>
            <w:shd w:val="clear" w:color="auto" w:fill="auto"/>
          </w:tcPr>
          <w:p w14:paraId="4509955B" w14:textId="77777777" w:rsidR="0066562F" w:rsidRPr="00F461C2" w:rsidRDefault="0066562F" w:rsidP="0010511E">
            <w:pPr>
              <w:rPr>
                <w:rFonts w:ascii="Arial" w:hAnsi="Arial" w:cs="Arial"/>
                <w:sz w:val="20"/>
                <w:szCs w:val="20"/>
              </w:rPr>
            </w:pPr>
            <w:r w:rsidRPr="00F461C2">
              <w:rPr>
                <w:rFonts w:ascii="Arial" w:hAnsi="Arial" w:cs="Arial"/>
                <w:sz w:val="20"/>
                <w:szCs w:val="20"/>
              </w:rPr>
              <w:t>Page 10</w:t>
            </w:r>
          </w:p>
        </w:tc>
        <w:tc>
          <w:tcPr>
            <w:tcW w:w="4629" w:type="dxa"/>
            <w:shd w:val="clear" w:color="auto" w:fill="auto"/>
          </w:tcPr>
          <w:p w14:paraId="1BB3A7A4"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Delete “(1) Linear Situations” and add the entire wording of Policy HC06 in the same manner as HC05 is included at page 4.  At first paragraph delete – “between two residential buildings” and replace with “on small gap sites or within the curtilage of existing properties.”  At first bullet point – delete the word “residential”.  At third bullet point – delete the entire sentence which reads “the existing residential buildings must front a road or access lane and be less than 80 metres apart”.  </w:t>
            </w:r>
          </w:p>
        </w:tc>
        <w:tc>
          <w:tcPr>
            <w:tcW w:w="6095" w:type="dxa"/>
            <w:shd w:val="clear" w:color="auto" w:fill="auto"/>
          </w:tcPr>
          <w:p w14:paraId="5633016A"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 accepted. Pages 10 and 11 provide the principal guidance on infill development in the countryside, expanding on sub section 4 of Policy HC05. This guidance is specific to infill development in the </w:t>
            </w:r>
            <w:proofErr w:type="gramStart"/>
            <w:r w:rsidRPr="00F461C2">
              <w:rPr>
                <w:rFonts w:ascii="Arial" w:hAnsi="Arial" w:cs="Arial"/>
                <w:sz w:val="20"/>
                <w:szCs w:val="20"/>
              </w:rPr>
              <w:t>countryside, and</w:t>
            </w:r>
            <w:proofErr w:type="gramEnd"/>
            <w:r w:rsidRPr="00F461C2">
              <w:rPr>
                <w:rFonts w:ascii="Arial" w:hAnsi="Arial" w:cs="Arial"/>
                <w:sz w:val="20"/>
                <w:szCs w:val="20"/>
              </w:rPr>
              <w:t xml:space="preserve"> is additional to Policy HC06 which provides more general guidance for infill development in all locations, including urban situations. The general HC06 criteria alone does not provide sufficient guidance and control on infill development in the countryside.</w:t>
            </w:r>
          </w:p>
        </w:tc>
      </w:tr>
      <w:tr w:rsidR="0066562F" w:rsidRPr="00F461C2" w14:paraId="08A796C3" w14:textId="77777777" w:rsidTr="0010511E">
        <w:tc>
          <w:tcPr>
            <w:tcW w:w="1646" w:type="dxa"/>
            <w:shd w:val="clear" w:color="auto" w:fill="auto"/>
          </w:tcPr>
          <w:p w14:paraId="4D5DBB74" w14:textId="77777777" w:rsidR="0066562F" w:rsidRPr="00F461C2" w:rsidRDefault="0066562F" w:rsidP="0010511E">
            <w:pPr>
              <w:rPr>
                <w:rFonts w:ascii="Arial" w:hAnsi="Arial" w:cs="Arial"/>
                <w:sz w:val="20"/>
                <w:szCs w:val="20"/>
              </w:rPr>
            </w:pPr>
            <w:r w:rsidRPr="00F461C2">
              <w:rPr>
                <w:rFonts w:ascii="Arial" w:hAnsi="Arial" w:cs="Arial"/>
                <w:sz w:val="20"/>
                <w:szCs w:val="20"/>
              </w:rPr>
              <w:t>Development and Environmental Services Limited</w:t>
            </w:r>
          </w:p>
          <w:p w14:paraId="1FED1F98" w14:textId="77777777" w:rsidR="0066562F" w:rsidRPr="00F461C2" w:rsidRDefault="0066562F" w:rsidP="0010511E">
            <w:pPr>
              <w:rPr>
                <w:rFonts w:ascii="Arial" w:hAnsi="Arial" w:cs="Arial"/>
                <w:sz w:val="20"/>
                <w:szCs w:val="20"/>
              </w:rPr>
            </w:pPr>
          </w:p>
        </w:tc>
        <w:tc>
          <w:tcPr>
            <w:tcW w:w="1800" w:type="dxa"/>
            <w:shd w:val="clear" w:color="auto" w:fill="auto"/>
          </w:tcPr>
          <w:p w14:paraId="66E1C483" w14:textId="77777777" w:rsidR="0066562F" w:rsidRPr="00F461C2" w:rsidRDefault="0066562F" w:rsidP="0010511E">
            <w:pPr>
              <w:rPr>
                <w:rFonts w:ascii="Arial" w:hAnsi="Arial" w:cs="Arial"/>
                <w:sz w:val="20"/>
                <w:szCs w:val="20"/>
              </w:rPr>
            </w:pPr>
            <w:r w:rsidRPr="00F461C2">
              <w:rPr>
                <w:rFonts w:ascii="Arial" w:hAnsi="Arial" w:cs="Arial"/>
                <w:sz w:val="20"/>
                <w:szCs w:val="20"/>
              </w:rPr>
              <w:t>Page 11</w:t>
            </w:r>
          </w:p>
        </w:tc>
        <w:tc>
          <w:tcPr>
            <w:tcW w:w="4629" w:type="dxa"/>
            <w:shd w:val="clear" w:color="auto" w:fill="auto"/>
          </w:tcPr>
          <w:p w14:paraId="7E3CBB90" w14:textId="77777777" w:rsidR="0066562F" w:rsidRPr="00F461C2" w:rsidRDefault="0066562F" w:rsidP="0010511E">
            <w:pPr>
              <w:rPr>
                <w:rFonts w:ascii="Arial" w:hAnsi="Arial" w:cs="Arial"/>
                <w:bCs/>
                <w:sz w:val="20"/>
                <w:szCs w:val="20"/>
              </w:rPr>
            </w:pPr>
            <w:r w:rsidRPr="00F461C2">
              <w:rPr>
                <w:rFonts w:ascii="Arial" w:hAnsi="Arial" w:cs="Arial"/>
                <w:sz w:val="20"/>
                <w:szCs w:val="20"/>
              </w:rPr>
              <w:t xml:space="preserve">Delete entire page on building clusters.  </w:t>
            </w:r>
            <w:r w:rsidRPr="00F461C2">
              <w:rPr>
                <w:rFonts w:ascii="Arial" w:hAnsi="Arial" w:cs="Arial"/>
                <w:bCs/>
                <w:sz w:val="20"/>
                <w:szCs w:val="20"/>
              </w:rPr>
              <w:t>Makes no sense that HC06 is referred to</w:t>
            </w:r>
            <w:r w:rsidRPr="00F461C2">
              <w:rPr>
                <w:rFonts w:ascii="Arial" w:hAnsi="Arial" w:cs="Arial"/>
                <w:sz w:val="20"/>
                <w:szCs w:val="20"/>
              </w:rPr>
              <w:t xml:space="preserve"> on pages 2,10,11 and 36/a1, </w:t>
            </w:r>
            <w:r w:rsidRPr="00F461C2">
              <w:rPr>
                <w:rFonts w:ascii="Arial" w:hAnsi="Arial" w:cs="Arial"/>
                <w:bCs/>
                <w:sz w:val="20"/>
                <w:szCs w:val="20"/>
              </w:rPr>
              <w:t>but the policy is not included in SG01.</w:t>
            </w:r>
            <w:r w:rsidRPr="00F461C2">
              <w:rPr>
                <w:rFonts w:ascii="Arial" w:hAnsi="Arial" w:cs="Arial"/>
                <w:sz w:val="20"/>
                <w:szCs w:val="20"/>
              </w:rPr>
              <w:t xml:space="preserve">  Much of page 11 is duplication of page 10. </w:t>
            </w:r>
            <w:r w:rsidRPr="00F461C2">
              <w:rPr>
                <w:rFonts w:ascii="Arial" w:hAnsi="Arial" w:cs="Arial"/>
                <w:bCs/>
                <w:sz w:val="20"/>
                <w:szCs w:val="20"/>
              </w:rPr>
              <w:t xml:space="preserve"> </w:t>
            </w:r>
          </w:p>
          <w:p w14:paraId="7AF48BAE" w14:textId="77777777" w:rsidR="0066562F" w:rsidRPr="00F461C2" w:rsidRDefault="0066562F" w:rsidP="0010511E">
            <w:pPr>
              <w:rPr>
                <w:rFonts w:ascii="Arial" w:hAnsi="Arial" w:cs="Arial"/>
                <w:sz w:val="20"/>
                <w:szCs w:val="20"/>
              </w:rPr>
            </w:pPr>
            <w:r w:rsidRPr="00F461C2">
              <w:rPr>
                <w:rFonts w:ascii="Arial" w:hAnsi="Arial" w:cs="Arial"/>
                <w:bCs/>
                <w:sz w:val="20"/>
                <w:szCs w:val="20"/>
              </w:rPr>
              <w:t xml:space="preserve">The Building Cluster section introduces a new requirement that “The proposal does not expand the cluster by more than 50% of the number of houses”. </w:t>
            </w:r>
            <w:r w:rsidRPr="00F461C2">
              <w:rPr>
                <w:rFonts w:ascii="Arial" w:hAnsi="Arial" w:cs="Arial"/>
                <w:sz w:val="20"/>
                <w:szCs w:val="20"/>
              </w:rPr>
              <w:t xml:space="preserve"> </w:t>
            </w:r>
            <w:r w:rsidRPr="00F461C2">
              <w:rPr>
                <w:rFonts w:ascii="Arial" w:hAnsi="Arial" w:cs="Arial"/>
                <w:bCs/>
                <w:sz w:val="20"/>
                <w:szCs w:val="20"/>
              </w:rPr>
              <w:t>This contradicts para 5.47 page 34 and the checklist on page 35 which refers to a figure of up to 3.</w:t>
            </w:r>
            <w:r w:rsidRPr="00F461C2">
              <w:rPr>
                <w:rFonts w:ascii="Arial" w:hAnsi="Arial" w:cs="Arial"/>
                <w:sz w:val="20"/>
                <w:szCs w:val="20"/>
              </w:rPr>
              <w:t xml:space="preserve"> 50% reference could also be interpreted that a single house in the countryside with a large garden could not subdivide the curtilage into two.  </w:t>
            </w:r>
          </w:p>
          <w:p w14:paraId="129F8288"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Requirements that “buildings within the group have “a strong physical and visual cohesion” and the comments on “containment” of sites </w:t>
            </w:r>
            <w:r w:rsidRPr="00F461C2">
              <w:rPr>
                <w:rFonts w:ascii="Arial" w:hAnsi="Arial" w:cs="Arial"/>
                <w:sz w:val="20"/>
                <w:szCs w:val="20"/>
              </w:rPr>
              <w:lastRenderedPageBreak/>
              <w:t xml:space="preserve">complicate the clearly defined provisions of LDP2 HC06. </w:t>
            </w:r>
          </w:p>
        </w:tc>
        <w:tc>
          <w:tcPr>
            <w:tcW w:w="6095" w:type="dxa"/>
            <w:shd w:val="clear" w:color="auto" w:fill="auto"/>
          </w:tcPr>
          <w:p w14:paraId="0C5F59AD"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 xml:space="preserve">Comment partially accepted. </w:t>
            </w:r>
          </w:p>
          <w:p w14:paraId="40FFF327" w14:textId="77777777" w:rsidR="0066562F" w:rsidRPr="00F461C2" w:rsidRDefault="0066562F" w:rsidP="0010511E">
            <w:pPr>
              <w:rPr>
                <w:rFonts w:ascii="Arial" w:hAnsi="Arial" w:cs="Arial"/>
                <w:bCs/>
                <w:sz w:val="20"/>
                <w:szCs w:val="20"/>
              </w:rPr>
            </w:pPr>
            <w:r w:rsidRPr="00F461C2">
              <w:rPr>
                <w:rFonts w:ascii="Arial" w:hAnsi="Arial" w:cs="Arial"/>
                <w:sz w:val="20"/>
                <w:szCs w:val="20"/>
              </w:rPr>
              <w:t xml:space="preserve">As noted above, Policy HC06 is just a general policy on infill development. Whilst it is referenced within this SG, it does not provide the specific guidance on infill development in the countryside which is the focus of the SG. Page 11 is an essential part of this specific guidance, dealing with what is acceptable in cluster situations. </w:t>
            </w:r>
          </w:p>
          <w:p w14:paraId="361FE693" w14:textId="77777777" w:rsidR="0066562F" w:rsidRPr="00F461C2" w:rsidRDefault="0066562F" w:rsidP="0010511E">
            <w:pPr>
              <w:rPr>
                <w:rFonts w:ascii="Arial" w:hAnsi="Arial" w:cs="Arial"/>
                <w:sz w:val="20"/>
                <w:szCs w:val="20"/>
              </w:rPr>
            </w:pPr>
          </w:p>
          <w:p w14:paraId="00DD7337" w14:textId="77777777" w:rsidR="0066562F" w:rsidRPr="00F461C2" w:rsidRDefault="0066562F" w:rsidP="0010511E">
            <w:pPr>
              <w:rPr>
                <w:rStyle w:val="A3"/>
                <w:rFonts w:ascii="Arial" w:hAnsi="Arial" w:cs="Arial"/>
                <w:bCs w:val="0"/>
                <w:color w:val="auto"/>
                <w:sz w:val="20"/>
                <w:szCs w:val="20"/>
              </w:rPr>
            </w:pPr>
            <w:r w:rsidRPr="00F461C2">
              <w:rPr>
                <w:rFonts w:ascii="Arial" w:hAnsi="Arial" w:cs="Arial"/>
                <w:sz w:val="20"/>
                <w:szCs w:val="20"/>
              </w:rPr>
              <w:t xml:space="preserve">No contradiction with the Design Guidance on infill development in para 5.48 on page 34 exists, as para 5.48 directly cross-references the section on infill development on page 11. Notwithstanding this, </w:t>
            </w:r>
            <w:proofErr w:type="gramStart"/>
            <w:r w:rsidRPr="00F461C2">
              <w:rPr>
                <w:rFonts w:ascii="Arial" w:hAnsi="Arial" w:cs="Arial"/>
                <w:sz w:val="20"/>
                <w:szCs w:val="20"/>
              </w:rPr>
              <w:t>it  is</w:t>
            </w:r>
            <w:proofErr w:type="gramEnd"/>
            <w:r w:rsidRPr="00F461C2">
              <w:rPr>
                <w:rFonts w:ascii="Arial" w:hAnsi="Arial" w:cs="Arial"/>
                <w:sz w:val="20"/>
                <w:szCs w:val="20"/>
              </w:rPr>
              <w:t xml:space="preserve"> accepted that the text in the check list on page 35 under ‘Infill Development’ which limits such development to ‘</w:t>
            </w:r>
            <w:r w:rsidRPr="00F461C2">
              <w:rPr>
                <w:rStyle w:val="A3"/>
                <w:rFonts w:ascii="Arial" w:hAnsi="Arial" w:cs="Arial"/>
                <w:sz w:val="20"/>
                <w:szCs w:val="20"/>
              </w:rPr>
              <w:t>up to 3 houses’ is not compatible with the detailed guidance on pages 10 and 11, and it will be deleted accordingly.</w:t>
            </w:r>
          </w:p>
          <w:p w14:paraId="4A99C857" w14:textId="77777777" w:rsidR="0066562F" w:rsidRPr="00F461C2" w:rsidRDefault="0066562F" w:rsidP="0010511E">
            <w:pPr>
              <w:rPr>
                <w:rFonts w:ascii="Arial" w:hAnsi="Arial" w:cs="Arial"/>
                <w:sz w:val="20"/>
                <w:szCs w:val="20"/>
              </w:rPr>
            </w:pPr>
          </w:p>
        </w:tc>
      </w:tr>
      <w:tr w:rsidR="0066562F" w:rsidRPr="00F461C2" w14:paraId="4ECDF3DF" w14:textId="77777777" w:rsidTr="0010511E">
        <w:tc>
          <w:tcPr>
            <w:tcW w:w="1646" w:type="dxa"/>
            <w:shd w:val="clear" w:color="auto" w:fill="auto"/>
          </w:tcPr>
          <w:p w14:paraId="204F7E06"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Development and Environmental Services Limited</w:t>
            </w:r>
          </w:p>
        </w:tc>
        <w:tc>
          <w:tcPr>
            <w:tcW w:w="1800" w:type="dxa"/>
            <w:shd w:val="clear" w:color="auto" w:fill="auto"/>
          </w:tcPr>
          <w:p w14:paraId="24A27516" w14:textId="77777777" w:rsidR="0066562F" w:rsidRPr="00F461C2" w:rsidRDefault="0066562F" w:rsidP="0010511E">
            <w:pPr>
              <w:rPr>
                <w:rFonts w:ascii="Arial" w:hAnsi="Arial" w:cs="Arial"/>
                <w:sz w:val="20"/>
                <w:szCs w:val="20"/>
              </w:rPr>
            </w:pPr>
            <w:r w:rsidRPr="00F461C2">
              <w:rPr>
                <w:rFonts w:ascii="Arial" w:hAnsi="Arial" w:cs="Arial"/>
                <w:sz w:val="20"/>
                <w:szCs w:val="20"/>
              </w:rPr>
              <w:t>Page 34</w:t>
            </w:r>
          </w:p>
        </w:tc>
        <w:tc>
          <w:tcPr>
            <w:tcW w:w="4629" w:type="dxa"/>
            <w:shd w:val="clear" w:color="auto" w:fill="auto"/>
          </w:tcPr>
          <w:p w14:paraId="07729CB8" w14:textId="77777777" w:rsidR="0066562F" w:rsidRPr="00F461C2" w:rsidRDefault="0066562F" w:rsidP="0010511E">
            <w:pPr>
              <w:rPr>
                <w:rFonts w:ascii="Arial" w:hAnsi="Arial" w:cs="Arial"/>
                <w:sz w:val="20"/>
                <w:szCs w:val="20"/>
              </w:rPr>
            </w:pPr>
            <w:r w:rsidRPr="00F461C2">
              <w:rPr>
                <w:rFonts w:ascii="Arial" w:hAnsi="Arial" w:cs="Arial"/>
                <w:sz w:val="20"/>
                <w:szCs w:val="20"/>
              </w:rPr>
              <w:t>Delete “and cluster” from second last line in para 5.48</w:t>
            </w:r>
            <w:r w:rsidRPr="00F461C2">
              <w:rPr>
                <w:rFonts w:ascii="Arial" w:hAnsi="Arial" w:cs="Arial"/>
                <w:b/>
                <w:bCs/>
                <w:sz w:val="20"/>
                <w:szCs w:val="20"/>
              </w:rPr>
              <w:t xml:space="preserve"> </w:t>
            </w:r>
            <w:r w:rsidRPr="00F461C2">
              <w:rPr>
                <w:rFonts w:ascii="Arial" w:hAnsi="Arial" w:cs="Arial"/>
                <w:bCs/>
                <w:sz w:val="20"/>
                <w:szCs w:val="20"/>
              </w:rPr>
              <w:t>to achieve consistency.</w:t>
            </w:r>
            <w:r w:rsidRPr="00F461C2">
              <w:rPr>
                <w:rFonts w:ascii="Arial" w:hAnsi="Arial" w:cs="Arial"/>
                <w:sz w:val="20"/>
                <w:szCs w:val="20"/>
              </w:rPr>
              <w:t xml:space="preserve"> </w:t>
            </w:r>
          </w:p>
        </w:tc>
        <w:tc>
          <w:tcPr>
            <w:tcW w:w="6095" w:type="dxa"/>
            <w:shd w:val="clear" w:color="auto" w:fill="auto"/>
          </w:tcPr>
          <w:p w14:paraId="52F2FC82"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 accepted. ’Infill Development’ is the overarching heading for the relevant section, comprising subsections on linear situations and building clusters, so this is the correct term to be used in this context. The page numbers referred to will be amended to page 10 and 11.</w:t>
            </w:r>
          </w:p>
        </w:tc>
      </w:tr>
      <w:tr w:rsidR="0066562F" w:rsidRPr="00F461C2" w14:paraId="4A0F6742" w14:textId="77777777" w:rsidTr="0010511E">
        <w:tc>
          <w:tcPr>
            <w:tcW w:w="1646" w:type="dxa"/>
            <w:shd w:val="clear" w:color="auto" w:fill="auto"/>
          </w:tcPr>
          <w:p w14:paraId="4E119A63" w14:textId="77777777" w:rsidR="0066562F" w:rsidRPr="00F461C2" w:rsidRDefault="0066562F" w:rsidP="0010511E">
            <w:pPr>
              <w:rPr>
                <w:rFonts w:ascii="Arial" w:hAnsi="Arial" w:cs="Arial"/>
                <w:sz w:val="20"/>
                <w:szCs w:val="20"/>
              </w:rPr>
            </w:pPr>
            <w:r w:rsidRPr="00F461C2">
              <w:rPr>
                <w:rFonts w:ascii="Arial" w:hAnsi="Arial" w:cs="Arial"/>
                <w:sz w:val="20"/>
                <w:szCs w:val="20"/>
              </w:rPr>
              <w:t>Development and Environmental Services Limited</w:t>
            </w:r>
          </w:p>
        </w:tc>
        <w:tc>
          <w:tcPr>
            <w:tcW w:w="1800" w:type="dxa"/>
            <w:shd w:val="clear" w:color="auto" w:fill="auto"/>
          </w:tcPr>
          <w:p w14:paraId="145CA2C8" w14:textId="77777777" w:rsidR="0066562F" w:rsidRPr="00F461C2" w:rsidRDefault="0066562F" w:rsidP="0010511E">
            <w:pPr>
              <w:rPr>
                <w:rFonts w:ascii="Arial" w:hAnsi="Arial" w:cs="Arial"/>
                <w:sz w:val="20"/>
                <w:szCs w:val="20"/>
              </w:rPr>
            </w:pPr>
            <w:r w:rsidRPr="00F461C2">
              <w:rPr>
                <w:rFonts w:ascii="Arial" w:hAnsi="Arial" w:cs="Arial"/>
                <w:sz w:val="20"/>
                <w:szCs w:val="20"/>
              </w:rPr>
              <w:t>Appendix 1</w:t>
            </w:r>
          </w:p>
        </w:tc>
        <w:tc>
          <w:tcPr>
            <w:tcW w:w="4629" w:type="dxa"/>
            <w:shd w:val="clear" w:color="auto" w:fill="auto"/>
          </w:tcPr>
          <w:p w14:paraId="40DD8BD4" w14:textId="77777777" w:rsidR="0066562F" w:rsidRPr="00F461C2" w:rsidRDefault="0066562F" w:rsidP="0010511E">
            <w:pPr>
              <w:rPr>
                <w:rFonts w:ascii="Arial" w:hAnsi="Arial" w:cs="Arial"/>
                <w:sz w:val="20"/>
                <w:szCs w:val="20"/>
              </w:rPr>
            </w:pPr>
            <w:r w:rsidRPr="00F461C2">
              <w:rPr>
                <w:rFonts w:ascii="Arial" w:hAnsi="Arial" w:cs="Arial"/>
                <w:sz w:val="20"/>
                <w:szCs w:val="20"/>
              </w:rPr>
              <w:t>Add Policies HC05 and JE05. These are fundamental policies which seem to have been left out by mistake. Correct Policies HS06 to HCO6, HS08 to HC08 and HS09 to HC09, due to typographic errors.</w:t>
            </w:r>
            <w:r w:rsidRPr="00F461C2">
              <w:rPr>
                <w:rFonts w:ascii="Arial" w:hAnsi="Arial" w:cs="Arial"/>
                <w:b/>
                <w:bCs/>
                <w:sz w:val="20"/>
                <w:szCs w:val="20"/>
              </w:rPr>
              <w:t xml:space="preserve"> </w:t>
            </w:r>
          </w:p>
        </w:tc>
        <w:tc>
          <w:tcPr>
            <w:tcW w:w="6095" w:type="dxa"/>
            <w:shd w:val="clear" w:color="auto" w:fill="auto"/>
          </w:tcPr>
          <w:p w14:paraId="0E4A0E33" w14:textId="77777777" w:rsidR="0066562F" w:rsidRPr="00F461C2" w:rsidRDefault="0066562F" w:rsidP="0010511E">
            <w:pPr>
              <w:rPr>
                <w:rFonts w:ascii="Arial" w:hAnsi="Arial" w:cs="Arial"/>
                <w:sz w:val="20"/>
                <w:szCs w:val="20"/>
              </w:rPr>
            </w:pPr>
            <w:r w:rsidRPr="00F461C2">
              <w:rPr>
                <w:rFonts w:ascii="Arial" w:hAnsi="Arial" w:cs="Arial"/>
                <w:sz w:val="20"/>
                <w:szCs w:val="20"/>
              </w:rPr>
              <w:t>Comment partially accepted. Appendix 1 is removed. Applicants need to be aware of all other policies in LDP2 as it could be confusing by just referencing some of them. Policies with typographical errors highlighted will be corrected.</w:t>
            </w:r>
          </w:p>
        </w:tc>
      </w:tr>
    </w:tbl>
    <w:p w14:paraId="4BF939AD" w14:textId="77777777" w:rsidR="0066562F" w:rsidRDefault="0066562F" w:rsidP="0066562F"/>
    <w:p w14:paraId="33266E80" w14:textId="77777777" w:rsidR="0066562F" w:rsidRPr="00F461C2" w:rsidRDefault="0066562F" w:rsidP="0066562F">
      <w:pPr>
        <w:rPr>
          <w:rFonts w:ascii="Arial" w:hAnsi="Arial" w:cs="Arial"/>
          <w:b/>
          <w:sz w:val="22"/>
          <w:szCs w:val="22"/>
        </w:rPr>
      </w:pPr>
      <w:r w:rsidRPr="00F461C2">
        <w:rPr>
          <w:rFonts w:ascii="Arial" w:hAnsi="Arial" w:cs="Arial"/>
          <w:b/>
          <w:sz w:val="22"/>
          <w:szCs w:val="22"/>
        </w:rPr>
        <w:t>SG06 Affordable Housing</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4678"/>
        <w:gridCol w:w="6095"/>
      </w:tblGrid>
      <w:tr w:rsidR="0066562F" w:rsidRPr="00F461C2" w14:paraId="7623B768" w14:textId="77777777" w:rsidTr="0010511E">
        <w:tc>
          <w:tcPr>
            <w:tcW w:w="1696" w:type="dxa"/>
            <w:shd w:val="clear" w:color="auto" w:fill="BFBFBF"/>
          </w:tcPr>
          <w:p w14:paraId="6469F75E"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Organisation</w:t>
            </w:r>
          </w:p>
        </w:tc>
        <w:tc>
          <w:tcPr>
            <w:tcW w:w="1701" w:type="dxa"/>
            <w:shd w:val="clear" w:color="auto" w:fill="BFBFBF"/>
          </w:tcPr>
          <w:p w14:paraId="5043CD4E"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Para/Section</w:t>
            </w:r>
          </w:p>
        </w:tc>
        <w:tc>
          <w:tcPr>
            <w:tcW w:w="4678" w:type="dxa"/>
            <w:shd w:val="clear" w:color="auto" w:fill="BFBFBF"/>
          </w:tcPr>
          <w:p w14:paraId="5428025A"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Comment</w:t>
            </w:r>
          </w:p>
        </w:tc>
        <w:tc>
          <w:tcPr>
            <w:tcW w:w="6095" w:type="dxa"/>
            <w:shd w:val="clear" w:color="auto" w:fill="BFBFBF"/>
          </w:tcPr>
          <w:p w14:paraId="1DEF0872"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Response</w:t>
            </w:r>
          </w:p>
        </w:tc>
      </w:tr>
      <w:tr w:rsidR="0066562F" w:rsidRPr="00F461C2" w14:paraId="2F533526" w14:textId="77777777" w:rsidTr="0010511E">
        <w:tc>
          <w:tcPr>
            <w:tcW w:w="1696" w:type="dxa"/>
            <w:shd w:val="clear" w:color="auto" w:fill="auto"/>
          </w:tcPr>
          <w:p w14:paraId="5340013F" w14:textId="77777777" w:rsidR="0066562F" w:rsidRPr="00F461C2" w:rsidRDefault="0066562F" w:rsidP="0010511E">
            <w:pPr>
              <w:rPr>
                <w:rFonts w:ascii="Arial" w:hAnsi="Arial" w:cs="Arial"/>
                <w:b/>
                <w:sz w:val="20"/>
                <w:szCs w:val="20"/>
              </w:rPr>
            </w:pPr>
            <w:r w:rsidRPr="00F461C2">
              <w:rPr>
                <w:rFonts w:ascii="Arial" w:hAnsi="Arial" w:cs="Arial"/>
                <w:sz w:val="20"/>
                <w:szCs w:val="20"/>
              </w:rPr>
              <w:t>Persimmon Homes East Scotland</w:t>
            </w:r>
          </w:p>
        </w:tc>
        <w:tc>
          <w:tcPr>
            <w:tcW w:w="1701" w:type="dxa"/>
            <w:shd w:val="clear" w:color="auto" w:fill="auto"/>
          </w:tcPr>
          <w:p w14:paraId="597CC073" w14:textId="77777777" w:rsidR="0066562F" w:rsidRPr="00F461C2" w:rsidRDefault="0066562F" w:rsidP="0010511E">
            <w:pPr>
              <w:rPr>
                <w:rFonts w:ascii="Arial" w:hAnsi="Arial" w:cs="Arial"/>
                <w:sz w:val="20"/>
                <w:szCs w:val="20"/>
              </w:rPr>
            </w:pPr>
            <w:r w:rsidRPr="00F461C2">
              <w:rPr>
                <w:rFonts w:ascii="Arial" w:hAnsi="Arial" w:cs="Arial"/>
                <w:sz w:val="20"/>
                <w:szCs w:val="20"/>
              </w:rPr>
              <w:t>Para 2.2/2.3 Policy. Wheelchair Accessible Housing</w:t>
            </w:r>
          </w:p>
        </w:tc>
        <w:tc>
          <w:tcPr>
            <w:tcW w:w="4678" w:type="dxa"/>
            <w:shd w:val="clear" w:color="auto" w:fill="auto"/>
          </w:tcPr>
          <w:p w14:paraId="21EFF191" w14:textId="77777777" w:rsidR="0066562F" w:rsidRPr="00F461C2" w:rsidRDefault="0066562F" w:rsidP="0010511E">
            <w:pPr>
              <w:rPr>
                <w:rFonts w:ascii="Arial" w:hAnsi="Arial" w:cs="Arial"/>
                <w:sz w:val="20"/>
                <w:szCs w:val="20"/>
              </w:rPr>
            </w:pPr>
            <w:r w:rsidRPr="00F461C2">
              <w:rPr>
                <w:rFonts w:ascii="Arial" w:hAnsi="Arial" w:cs="Arial"/>
                <w:sz w:val="20"/>
                <w:szCs w:val="20"/>
              </w:rPr>
              <w:t>Clarify that the reference is to 5-10% of affordable provision.</w:t>
            </w:r>
          </w:p>
        </w:tc>
        <w:tc>
          <w:tcPr>
            <w:tcW w:w="6095" w:type="dxa"/>
            <w:shd w:val="clear" w:color="auto" w:fill="auto"/>
          </w:tcPr>
          <w:p w14:paraId="0D130FD6"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noted. The target for wheelchair accessible housing applies to all tenures. The percentage achievable on any site will be assessed on a </w:t>
            </w:r>
            <w:proofErr w:type="gramStart"/>
            <w:r w:rsidRPr="00F461C2">
              <w:rPr>
                <w:rFonts w:ascii="Arial" w:hAnsi="Arial" w:cs="Arial"/>
                <w:sz w:val="20"/>
                <w:szCs w:val="20"/>
              </w:rPr>
              <w:t>case by case</w:t>
            </w:r>
            <w:proofErr w:type="gramEnd"/>
            <w:r w:rsidRPr="00F461C2">
              <w:rPr>
                <w:rFonts w:ascii="Arial" w:hAnsi="Arial" w:cs="Arial"/>
                <w:sz w:val="20"/>
                <w:szCs w:val="20"/>
              </w:rPr>
              <w:t xml:space="preserve"> basis but could be delivered as private tenure, offsetting the number of affordable units on the site. See amended paragraphs 2.3 and 7.3 below.</w:t>
            </w:r>
          </w:p>
        </w:tc>
      </w:tr>
      <w:tr w:rsidR="0066562F" w:rsidRPr="00F461C2" w14:paraId="205F69B0" w14:textId="77777777" w:rsidTr="0010511E">
        <w:tc>
          <w:tcPr>
            <w:tcW w:w="1696" w:type="dxa"/>
            <w:shd w:val="clear" w:color="auto" w:fill="auto"/>
          </w:tcPr>
          <w:p w14:paraId="262AB352"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Persimmon Homes East Scotland</w:t>
            </w:r>
          </w:p>
        </w:tc>
        <w:tc>
          <w:tcPr>
            <w:tcW w:w="1701" w:type="dxa"/>
            <w:shd w:val="clear" w:color="auto" w:fill="auto"/>
          </w:tcPr>
          <w:p w14:paraId="4F2E1353" w14:textId="77777777" w:rsidR="0066562F" w:rsidRPr="00F461C2" w:rsidRDefault="0066562F" w:rsidP="0010511E">
            <w:pPr>
              <w:rPr>
                <w:rFonts w:ascii="Arial" w:hAnsi="Arial" w:cs="Arial"/>
                <w:sz w:val="20"/>
                <w:szCs w:val="20"/>
              </w:rPr>
            </w:pPr>
            <w:r w:rsidRPr="00F461C2">
              <w:rPr>
                <w:rFonts w:ascii="Arial" w:hAnsi="Arial" w:cs="Arial"/>
                <w:sz w:val="20"/>
                <w:szCs w:val="20"/>
              </w:rPr>
              <w:t>Para. 6.1 Delivery</w:t>
            </w:r>
          </w:p>
        </w:tc>
        <w:tc>
          <w:tcPr>
            <w:tcW w:w="4678" w:type="dxa"/>
            <w:shd w:val="clear" w:color="auto" w:fill="auto"/>
          </w:tcPr>
          <w:p w14:paraId="35A83C62" w14:textId="77777777" w:rsidR="0066562F" w:rsidRPr="00F461C2" w:rsidRDefault="0066562F" w:rsidP="0010511E">
            <w:pPr>
              <w:rPr>
                <w:rFonts w:ascii="Arial" w:hAnsi="Arial" w:cs="Arial"/>
                <w:sz w:val="20"/>
                <w:szCs w:val="20"/>
              </w:rPr>
            </w:pPr>
            <w:r w:rsidRPr="00F461C2">
              <w:rPr>
                <w:rFonts w:ascii="Arial" w:hAnsi="Arial" w:cs="Arial"/>
                <w:sz w:val="20"/>
                <w:szCs w:val="20"/>
              </w:rPr>
              <w:t>Support the preference for the delivery of affordable housing on site.</w:t>
            </w:r>
          </w:p>
        </w:tc>
        <w:tc>
          <w:tcPr>
            <w:tcW w:w="6095" w:type="dxa"/>
            <w:shd w:val="clear" w:color="auto" w:fill="auto"/>
          </w:tcPr>
          <w:p w14:paraId="12213E4A"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w:t>
            </w:r>
          </w:p>
        </w:tc>
      </w:tr>
      <w:tr w:rsidR="0066562F" w:rsidRPr="00F461C2" w14:paraId="662F004B" w14:textId="77777777" w:rsidTr="0010511E">
        <w:tc>
          <w:tcPr>
            <w:tcW w:w="1696" w:type="dxa"/>
            <w:shd w:val="clear" w:color="auto" w:fill="auto"/>
          </w:tcPr>
          <w:p w14:paraId="07663F63"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Persimmon Homes East Scotland</w:t>
            </w:r>
          </w:p>
        </w:tc>
        <w:tc>
          <w:tcPr>
            <w:tcW w:w="1701" w:type="dxa"/>
            <w:shd w:val="clear" w:color="auto" w:fill="auto"/>
          </w:tcPr>
          <w:p w14:paraId="789A6026" w14:textId="77777777" w:rsidR="0066562F" w:rsidRPr="00F461C2" w:rsidRDefault="0066562F" w:rsidP="0010511E">
            <w:pPr>
              <w:rPr>
                <w:rFonts w:ascii="Arial" w:hAnsi="Arial" w:cs="Arial"/>
                <w:sz w:val="20"/>
                <w:szCs w:val="20"/>
              </w:rPr>
            </w:pPr>
            <w:r w:rsidRPr="00F461C2">
              <w:rPr>
                <w:rFonts w:ascii="Arial" w:hAnsi="Arial" w:cs="Arial"/>
                <w:sz w:val="20"/>
                <w:szCs w:val="20"/>
              </w:rPr>
              <w:t>Para. 7.1/7.2 Development Management</w:t>
            </w:r>
          </w:p>
        </w:tc>
        <w:tc>
          <w:tcPr>
            <w:tcW w:w="4678" w:type="dxa"/>
            <w:shd w:val="clear" w:color="auto" w:fill="auto"/>
          </w:tcPr>
          <w:p w14:paraId="556791EE"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The Affordable Housing Statement should not delay the submission of a planning application where the proposal includes the required level of affordable provision. </w:t>
            </w:r>
          </w:p>
        </w:tc>
        <w:tc>
          <w:tcPr>
            <w:tcW w:w="6095" w:type="dxa"/>
            <w:shd w:val="clear" w:color="auto" w:fill="auto"/>
          </w:tcPr>
          <w:p w14:paraId="015648AF"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noted.  The statement is </w:t>
            </w:r>
            <w:proofErr w:type="gramStart"/>
            <w:r w:rsidRPr="00F461C2">
              <w:rPr>
                <w:rFonts w:ascii="Arial" w:hAnsi="Arial" w:cs="Arial"/>
                <w:sz w:val="20"/>
                <w:szCs w:val="20"/>
              </w:rPr>
              <w:t>a brief summary</w:t>
            </w:r>
            <w:proofErr w:type="gramEnd"/>
            <w:r w:rsidRPr="00F461C2">
              <w:rPr>
                <w:rFonts w:ascii="Arial" w:hAnsi="Arial" w:cs="Arial"/>
                <w:sz w:val="20"/>
                <w:szCs w:val="20"/>
              </w:rPr>
              <w:t xml:space="preserve"> which aims to reduce delay by demonstrating engagement with local housing strategy requirements. </w:t>
            </w:r>
          </w:p>
        </w:tc>
      </w:tr>
      <w:tr w:rsidR="0066562F" w:rsidRPr="00F461C2" w14:paraId="483387FB" w14:textId="77777777" w:rsidTr="0010511E">
        <w:tc>
          <w:tcPr>
            <w:tcW w:w="1696" w:type="dxa"/>
            <w:shd w:val="clear" w:color="auto" w:fill="auto"/>
          </w:tcPr>
          <w:p w14:paraId="342B2938"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Persimmon Homes East Scotland</w:t>
            </w:r>
          </w:p>
        </w:tc>
        <w:tc>
          <w:tcPr>
            <w:tcW w:w="1701" w:type="dxa"/>
            <w:shd w:val="clear" w:color="auto" w:fill="auto"/>
          </w:tcPr>
          <w:p w14:paraId="76D924D4" w14:textId="77777777" w:rsidR="0066562F" w:rsidRPr="00F461C2" w:rsidRDefault="0066562F" w:rsidP="0010511E">
            <w:pPr>
              <w:rPr>
                <w:rFonts w:ascii="Arial" w:hAnsi="Arial" w:cs="Arial"/>
                <w:sz w:val="20"/>
                <w:szCs w:val="20"/>
              </w:rPr>
            </w:pPr>
            <w:r w:rsidRPr="00F461C2">
              <w:rPr>
                <w:rFonts w:ascii="Arial" w:hAnsi="Arial" w:cs="Arial"/>
                <w:sz w:val="20"/>
                <w:szCs w:val="20"/>
              </w:rPr>
              <w:t>Para 9.8 Design and Housing Standards</w:t>
            </w:r>
          </w:p>
        </w:tc>
        <w:tc>
          <w:tcPr>
            <w:tcW w:w="4678" w:type="dxa"/>
            <w:shd w:val="clear" w:color="auto" w:fill="auto"/>
          </w:tcPr>
          <w:p w14:paraId="0366D0E8"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The principle of tenure blindness and the Council’s preferred approach is supported. A segmented approach is generally adopted in layouts. </w:t>
            </w:r>
          </w:p>
        </w:tc>
        <w:tc>
          <w:tcPr>
            <w:tcW w:w="6095" w:type="dxa"/>
            <w:shd w:val="clear" w:color="auto" w:fill="auto"/>
          </w:tcPr>
          <w:p w14:paraId="1A68F960"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w:t>
            </w:r>
          </w:p>
        </w:tc>
      </w:tr>
      <w:tr w:rsidR="0066562F" w:rsidRPr="00F461C2" w14:paraId="669F2C68" w14:textId="77777777" w:rsidTr="0010511E">
        <w:tc>
          <w:tcPr>
            <w:tcW w:w="1696" w:type="dxa"/>
            <w:shd w:val="clear" w:color="auto" w:fill="auto"/>
          </w:tcPr>
          <w:p w14:paraId="7BF4732F" w14:textId="77777777" w:rsidR="0066562F" w:rsidRPr="00F461C2" w:rsidRDefault="0066562F" w:rsidP="0010511E">
            <w:pPr>
              <w:rPr>
                <w:rFonts w:ascii="Arial" w:hAnsi="Arial" w:cs="Arial"/>
                <w:sz w:val="20"/>
                <w:szCs w:val="20"/>
              </w:rPr>
            </w:pPr>
            <w:r w:rsidRPr="00F461C2">
              <w:rPr>
                <w:rFonts w:ascii="Arial" w:hAnsi="Arial" w:cs="Arial"/>
                <w:sz w:val="20"/>
                <w:szCs w:val="20"/>
              </w:rPr>
              <w:t>Scottish Government Planning and Architecture</w:t>
            </w:r>
          </w:p>
        </w:tc>
        <w:tc>
          <w:tcPr>
            <w:tcW w:w="1701" w:type="dxa"/>
            <w:shd w:val="clear" w:color="auto" w:fill="auto"/>
          </w:tcPr>
          <w:p w14:paraId="6BF3CB75" w14:textId="77777777" w:rsidR="0066562F" w:rsidRPr="00F461C2" w:rsidRDefault="0066562F" w:rsidP="0010511E">
            <w:pPr>
              <w:rPr>
                <w:rFonts w:ascii="Arial" w:hAnsi="Arial" w:cs="Arial"/>
                <w:sz w:val="20"/>
                <w:szCs w:val="20"/>
              </w:rPr>
            </w:pPr>
            <w:r w:rsidRPr="00F461C2">
              <w:rPr>
                <w:rFonts w:ascii="Arial" w:hAnsi="Arial" w:cs="Arial"/>
                <w:sz w:val="20"/>
                <w:szCs w:val="20"/>
              </w:rPr>
              <w:t>General</w:t>
            </w:r>
          </w:p>
        </w:tc>
        <w:tc>
          <w:tcPr>
            <w:tcW w:w="4678" w:type="dxa"/>
            <w:shd w:val="clear" w:color="auto" w:fill="auto"/>
          </w:tcPr>
          <w:p w14:paraId="02D12B3D" w14:textId="77777777" w:rsidR="0066562F" w:rsidRPr="00F461C2" w:rsidRDefault="0066562F" w:rsidP="0010511E">
            <w:pPr>
              <w:rPr>
                <w:rFonts w:ascii="Arial" w:hAnsi="Arial" w:cs="Arial"/>
                <w:sz w:val="20"/>
                <w:szCs w:val="20"/>
              </w:rPr>
            </w:pPr>
            <w:r w:rsidRPr="00F461C2">
              <w:rPr>
                <w:rFonts w:ascii="Arial" w:hAnsi="Arial" w:cs="Arial"/>
                <w:sz w:val="20"/>
                <w:szCs w:val="20"/>
              </w:rPr>
              <w:t>Welcomes the reference to wheelchair accessible housing targets.</w:t>
            </w:r>
          </w:p>
        </w:tc>
        <w:tc>
          <w:tcPr>
            <w:tcW w:w="6095" w:type="dxa"/>
            <w:shd w:val="clear" w:color="auto" w:fill="auto"/>
          </w:tcPr>
          <w:p w14:paraId="2D746DA5"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w:t>
            </w:r>
          </w:p>
        </w:tc>
      </w:tr>
      <w:tr w:rsidR="0066562F" w:rsidRPr="00F461C2" w14:paraId="2F3569A9" w14:textId="77777777" w:rsidTr="0010511E">
        <w:tc>
          <w:tcPr>
            <w:tcW w:w="1696" w:type="dxa"/>
            <w:shd w:val="clear" w:color="auto" w:fill="auto"/>
          </w:tcPr>
          <w:p w14:paraId="03777DFB" w14:textId="77777777" w:rsidR="0066562F" w:rsidRPr="00F461C2" w:rsidRDefault="0066562F" w:rsidP="0010511E">
            <w:pPr>
              <w:rPr>
                <w:rFonts w:ascii="Arial" w:hAnsi="Arial" w:cs="Arial"/>
                <w:sz w:val="20"/>
                <w:szCs w:val="20"/>
              </w:rPr>
            </w:pPr>
            <w:r w:rsidRPr="00F461C2">
              <w:rPr>
                <w:rFonts w:ascii="Arial" w:hAnsi="Arial" w:cs="Arial"/>
                <w:sz w:val="20"/>
                <w:szCs w:val="20"/>
              </w:rPr>
              <w:t>Scottish Government Planning and Architecture</w:t>
            </w:r>
          </w:p>
        </w:tc>
        <w:tc>
          <w:tcPr>
            <w:tcW w:w="1701" w:type="dxa"/>
            <w:shd w:val="clear" w:color="auto" w:fill="auto"/>
          </w:tcPr>
          <w:p w14:paraId="1A28C4C0" w14:textId="77777777" w:rsidR="0066562F" w:rsidRPr="00F461C2" w:rsidRDefault="0066562F" w:rsidP="0010511E">
            <w:pPr>
              <w:rPr>
                <w:rFonts w:ascii="Arial" w:hAnsi="Arial" w:cs="Arial"/>
                <w:sz w:val="20"/>
                <w:szCs w:val="20"/>
              </w:rPr>
            </w:pPr>
            <w:r w:rsidRPr="00F461C2">
              <w:rPr>
                <w:rFonts w:ascii="Arial" w:hAnsi="Arial" w:cs="Arial"/>
                <w:sz w:val="20"/>
                <w:szCs w:val="20"/>
              </w:rPr>
              <w:t>Para 2.3 Policy. Wheelchair Accessible Housing</w:t>
            </w:r>
          </w:p>
        </w:tc>
        <w:tc>
          <w:tcPr>
            <w:tcW w:w="4678" w:type="dxa"/>
            <w:shd w:val="clear" w:color="auto" w:fill="auto"/>
          </w:tcPr>
          <w:p w14:paraId="2910C6EE" w14:textId="77777777" w:rsidR="0066562F" w:rsidRPr="00F461C2" w:rsidRDefault="0066562F" w:rsidP="0010511E">
            <w:pPr>
              <w:rPr>
                <w:rFonts w:ascii="Arial" w:hAnsi="Arial" w:cs="Arial"/>
                <w:sz w:val="20"/>
                <w:szCs w:val="20"/>
              </w:rPr>
            </w:pPr>
            <w:r w:rsidRPr="00F461C2">
              <w:rPr>
                <w:rFonts w:ascii="Arial" w:hAnsi="Arial" w:cs="Arial"/>
                <w:sz w:val="20"/>
                <w:szCs w:val="20"/>
              </w:rPr>
              <w:t>Revise to make clearer what steps will be taken in support of this approach.</w:t>
            </w:r>
          </w:p>
        </w:tc>
        <w:tc>
          <w:tcPr>
            <w:tcW w:w="6095" w:type="dxa"/>
            <w:shd w:val="clear" w:color="auto" w:fill="auto"/>
          </w:tcPr>
          <w:p w14:paraId="03AC4F63"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accepted. </w:t>
            </w:r>
          </w:p>
          <w:p w14:paraId="046E41EA" w14:textId="77777777" w:rsidR="0066562F" w:rsidRPr="00F461C2" w:rsidRDefault="0066562F" w:rsidP="0010511E">
            <w:pPr>
              <w:rPr>
                <w:rFonts w:ascii="Arial" w:hAnsi="Arial" w:cs="Arial"/>
                <w:sz w:val="20"/>
                <w:szCs w:val="20"/>
              </w:rPr>
            </w:pPr>
            <w:r w:rsidRPr="00F461C2">
              <w:rPr>
                <w:rFonts w:ascii="Arial" w:hAnsi="Arial" w:cs="Arial"/>
                <w:sz w:val="20"/>
                <w:szCs w:val="20"/>
              </w:rPr>
              <w:t>Amend paragraph 2.3 to read:</w:t>
            </w:r>
          </w:p>
          <w:p w14:paraId="14E36349" w14:textId="77777777" w:rsidR="0066562F" w:rsidRPr="00F461C2" w:rsidRDefault="0066562F" w:rsidP="0010511E">
            <w:pPr>
              <w:rPr>
                <w:rFonts w:ascii="Arial" w:hAnsi="Arial" w:cs="Arial"/>
                <w:i/>
                <w:sz w:val="20"/>
                <w:szCs w:val="20"/>
              </w:rPr>
            </w:pPr>
            <w:r w:rsidRPr="00F461C2">
              <w:rPr>
                <w:rFonts w:ascii="Arial" w:hAnsi="Arial" w:cs="Arial"/>
                <w:i/>
                <w:sz w:val="20"/>
                <w:szCs w:val="20"/>
              </w:rPr>
              <w:t xml:space="preserve">‘The Council will seek the delivery of wheelchair accessible housing on sites which are subject to the affordable housing policy (i.e. 20 or more units). The target will be 5-10% of the total units </w:t>
            </w:r>
            <w:r w:rsidRPr="00F461C2">
              <w:rPr>
                <w:rFonts w:ascii="Arial" w:hAnsi="Arial" w:cs="Arial"/>
                <w:i/>
                <w:sz w:val="20"/>
                <w:szCs w:val="20"/>
              </w:rPr>
              <w:lastRenderedPageBreak/>
              <w:t xml:space="preserve">on the site, and these can be part of the market or affordable provision. Where they are provided as market units, the Council will count them as contributing towards the affordable requirement. For </w:t>
            </w:r>
            <w:proofErr w:type="gramStart"/>
            <w:r w:rsidRPr="00F461C2">
              <w:rPr>
                <w:rFonts w:ascii="Arial" w:hAnsi="Arial" w:cs="Arial"/>
                <w:i/>
                <w:sz w:val="20"/>
                <w:szCs w:val="20"/>
              </w:rPr>
              <w:t>example</w:t>
            </w:r>
            <w:proofErr w:type="gramEnd"/>
            <w:r w:rsidRPr="00F461C2">
              <w:rPr>
                <w:rFonts w:ascii="Arial" w:hAnsi="Arial" w:cs="Arial"/>
                <w:i/>
                <w:sz w:val="20"/>
                <w:szCs w:val="20"/>
              </w:rPr>
              <w:t xml:space="preserve"> on a 100 unit site, where the affordable requirement is 25% (25 units), the developer could provide this as 20 affordable housing units and 5 market wheelchair accessible houses. This is consistent with Scottish Planning Policy (SPP) para 129 which states that “Where permission is sought for specialist housing, as described in paragraphs 132-134, a contribution to affordable housing may not always be required”. The Council will take a </w:t>
            </w:r>
            <w:proofErr w:type="gramStart"/>
            <w:r w:rsidRPr="00F461C2">
              <w:rPr>
                <w:rFonts w:ascii="Arial" w:hAnsi="Arial" w:cs="Arial"/>
                <w:i/>
                <w:sz w:val="20"/>
                <w:szCs w:val="20"/>
              </w:rPr>
              <w:t>case by case</w:t>
            </w:r>
            <w:proofErr w:type="gramEnd"/>
            <w:r w:rsidRPr="00F461C2">
              <w:rPr>
                <w:rFonts w:ascii="Arial" w:hAnsi="Arial" w:cs="Arial"/>
                <w:i/>
                <w:sz w:val="20"/>
                <w:szCs w:val="20"/>
              </w:rPr>
              <w:t xml:space="preserve"> approach to each proposal, taking account of local circumstances and housing needs, and considering the advice of District Valuer where appropriate. Wheelchair accessible homes across all tenures means homes suitable for wheelchair users to live in and should as a minimum comply with the design criteria indicated as a ‘basic’ requirement for wheelchair users, as outlined in Housing for Varying Needs (</w:t>
            </w:r>
            <w:proofErr w:type="spellStart"/>
            <w:r w:rsidRPr="00F461C2">
              <w:rPr>
                <w:rFonts w:ascii="Arial" w:hAnsi="Arial" w:cs="Arial"/>
                <w:i/>
                <w:sz w:val="20"/>
                <w:szCs w:val="20"/>
              </w:rPr>
              <w:t>HfVN</w:t>
            </w:r>
            <w:proofErr w:type="spellEnd"/>
            <w:r w:rsidRPr="00F461C2">
              <w:rPr>
                <w:rFonts w:ascii="Arial" w:hAnsi="Arial" w:cs="Arial"/>
                <w:i/>
                <w:sz w:val="20"/>
                <w:szCs w:val="20"/>
              </w:rPr>
              <w:t>) (column ‘B’ in ‘Summary of Design Criteria’)’.</w:t>
            </w:r>
          </w:p>
          <w:p w14:paraId="7264A09D" w14:textId="77777777" w:rsidR="0066562F" w:rsidRPr="00F461C2" w:rsidRDefault="0066562F" w:rsidP="0010511E">
            <w:pPr>
              <w:rPr>
                <w:rFonts w:ascii="Arial" w:hAnsi="Arial" w:cs="Arial"/>
                <w:sz w:val="20"/>
                <w:szCs w:val="20"/>
              </w:rPr>
            </w:pPr>
          </w:p>
          <w:p w14:paraId="1972909D" w14:textId="77777777" w:rsidR="0066562F" w:rsidRPr="00F461C2" w:rsidRDefault="0066562F" w:rsidP="0010511E">
            <w:pPr>
              <w:rPr>
                <w:rFonts w:ascii="Arial" w:hAnsi="Arial" w:cs="Arial"/>
                <w:sz w:val="20"/>
                <w:szCs w:val="20"/>
              </w:rPr>
            </w:pPr>
            <w:r w:rsidRPr="00F461C2">
              <w:rPr>
                <w:rFonts w:ascii="Arial" w:hAnsi="Arial" w:cs="Arial"/>
                <w:sz w:val="20"/>
                <w:szCs w:val="20"/>
              </w:rPr>
              <w:t>Amend paragraph 7.1 to add new point 3:</w:t>
            </w:r>
          </w:p>
          <w:p w14:paraId="5B2287F6" w14:textId="77777777" w:rsidR="0066562F" w:rsidRPr="00F461C2" w:rsidRDefault="0066562F" w:rsidP="0010511E">
            <w:pPr>
              <w:rPr>
                <w:rFonts w:ascii="Arial" w:hAnsi="Arial" w:cs="Arial"/>
                <w:i/>
                <w:sz w:val="20"/>
                <w:szCs w:val="20"/>
              </w:rPr>
            </w:pPr>
            <w:r w:rsidRPr="00F461C2">
              <w:rPr>
                <w:rFonts w:ascii="Arial" w:hAnsi="Arial" w:cs="Arial"/>
                <w:sz w:val="20"/>
                <w:szCs w:val="20"/>
              </w:rPr>
              <w:t xml:space="preserve"> </w:t>
            </w:r>
            <w:r w:rsidRPr="00F461C2">
              <w:rPr>
                <w:rFonts w:ascii="Arial" w:hAnsi="Arial" w:cs="Arial"/>
                <w:i/>
                <w:sz w:val="20"/>
                <w:szCs w:val="20"/>
              </w:rPr>
              <w:t xml:space="preserve">‘3. Confirmation of how wheelchair accessible housing targets </w:t>
            </w:r>
            <w:proofErr w:type="gramStart"/>
            <w:r w:rsidRPr="00F461C2">
              <w:rPr>
                <w:rFonts w:ascii="Arial" w:hAnsi="Arial" w:cs="Arial"/>
                <w:i/>
                <w:sz w:val="20"/>
                <w:szCs w:val="20"/>
              </w:rPr>
              <w:t>are</w:t>
            </w:r>
            <w:proofErr w:type="gramEnd"/>
            <w:r w:rsidRPr="00F461C2">
              <w:rPr>
                <w:rFonts w:ascii="Arial" w:hAnsi="Arial" w:cs="Arial"/>
                <w:i/>
                <w:sz w:val="20"/>
                <w:szCs w:val="20"/>
              </w:rPr>
              <w:t xml:space="preserve"> to be met on the site, whether as affordable or market units.’</w:t>
            </w:r>
          </w:p>
          <w:p w14:paraId="56C6D9A8" w14:textId="77777777" w:rsidR="0066562F" w:rsidRPr="00F461C2" w:rsidRDefault="0066562F" w:rsidP="0010511E">
            <w:pPr>
              <w:rPr>
                <w:rFonts w:ascii="Arial" w:hAnsi="Arial" w:cs="Arial"/>
                <w:sz w:val="20"/>
                <w:szCs w:val="20"/>
              </w:rPr>
            </w:pPr>
          </w:p>
          <w:p w14:paraId="2598F473" w14:textId="77777777" w:rsidR="0066562F" w:rsidRPr="00F461C2" w:rsidRDefault="0066562F" w:rsidP="0010511E">
            <w:pPr>
              <w:rPr>
                <w:rFonts w:ascii="Arial" w:hAnsi="Arial" w:cs="Arial"/>
                <w:sz w:val="20"/>
                <w:szCs w:val="20"/>
              </w:rPr>
            </w:pPr>
            <w:r w:rsidRPr="00F461C2">
              <w:rPr>
                <w:rFonts w:ascii="Arial" w:hAnsi="Arial" w:cs="Arial"/>
                <w:sz w:val="20"/>
                <w:szCs w:val="20"/>
              </w:rPr>
              <w:t>Insert new paragraph 7.3:</w:t>
            </w:r>
          </w:p>
          <w:p w14:paraId="77E6A143" w14:textId="77777777" w:rsidR="0066562F" w:rsidRPr="00F461C2" w:rsidRDefault="0066562F" w:rsidP="0010511E">
            <w:pPr>
              <w:rPr>
                <w:rFonts w:ascii="Arial" w:hAnsi="Arial" w:cs="Arial"/>
                <w:i/>
                <w:sz w:val="20"/>
                <w:szCs w:val="20"/>
              </w:rPr>
            </w:pPr>
            <w:r w:rsidRPr="00F461C2">
              <w:rPr>
                <w:rFonts w:ascii="Arial" w:hAnsi="Arial" w:cs="Arial"/>
                <w:i/>
                <w:sz w:val="20"/>
                <w:szCs w:val="20"/>
              </w:rPr>
              <w:t>‘For wheelchair accessible housing, pre application discussions will help to confirm the number and tenure of the units to be provided and how the units will be maintained as wheelchair accessible in perpetuity.’</w:t>
            </w:r>
          </w:p>
          <w:p w14:paraId="65C57E19" w14:textId="77777777" w:rsidR="0066562F" w:rsidRPr="00F461C2" w:rsidRDefault="0066562F" w:rsidP="0010511E">
            <w:pPr>
              <w:rPr>
                <w:rFonts w:ascii="Arial" w:hAnsi="Arial" w:cs="Arial"/>
                <w:sz w:val="20"/>
                <w:szCs w:val="20"/>
              </w:rPr>
            </w:pPr>
          </w:p>
          <w:p w14:paraId="64838189" w14:textId="77777777" w:rsidR="0066562F" w:rsidRPr="00F461C2" w:rsidRDefault="0066562F" w:rsidP="0010511E">
            <w:pPr>
              <w:rPr>
                <w:rFonts w:ascii="Arial" w:hAnsi="Arial" w:cs="Arial"/>
                <w:sz w:val="20"/>
                <w:szCs w:val="20"/>
              </w:rPr>
            </w:pPr>
            <w:r w:rsidRPr="00F461C2">
              <w:rPr>
                <w:rFonts w:ascii="Arial" w:hAnsi="Arial" w:cs="Arial"/>
                <w:sz w:val="20"/>
                <w:szCs w:val="20"/>
              </w:rPr>
              <w:t>Insert new paragraph 7.6:</w:t>
            </w:r>
          </w:p>
          <w:p w14:paraId="240D59A9" w14:textId="77777777" w:rsidR="0066562F" w:rsidRPr="00F461C2" w:rsidRDefault="0066562F" w:rsidP="0010511E">
            <w:pPr>
              <w:rPr>
                <w:rFonts w:ascii="Arial" w:hAnsi="Arial" w:cs="Arial"/>
                <w:i/>
                <w:sz w:val="20"/>
                <w:szCs w:val="20"/>
              </w:rPr>
            </w:pPr>
            <w:r w:rsidRPr="00F461C2">
              <w:rPr>
                <w:rFonts w:ascii="Arial" w:hAnsi="Arial" w:cs="Arial"/>
                <w:i/>
                <w:sz w:val="20"/>
                <w:szCs w:val="20"/>
              </w:rPr>
              <w:t>‘Consideration will also be given to the District Valuer’s advice. The cost of obtaining advice from the District Valuer will be split evenly between the Council and the developer.’</w:t>
            </w:r>
          </w:p>
        </w:tc>
      </w:tr>
      <w:tr w:rsidR="0066562F" w:rsidRPr="00F461C2" w14:paraId="08762D51" w14:textId="77777777" w:rsidTr="0010511E">
        <w:tc>
          <w:tcPr>
            <w:tcW w:w="1696" w:type="dxa"/>
            <w:shd w:val="clear" w:color="auto" w:fill="auto"/>
          </w:tcPr>
          <w:p w14:paraId="2F2333E4"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Scottish Government Planning and Architecture</w:t>
            </w:r>
          </w:p>
        </w:tc>
        <w:tc>
          <w:tcPr>
            <w:tcW w:w="1701" w:type="dxa"/>
            <w:shd w:val="clear" w:color="auto" w:fill="auto"/>
          </w:tcPr>
          <w:p w14:paraId="748A6DD8"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Para. 4.9 Types of Affordable Housing. Wheelchair Accessible Housing </w:t>
            </w:r>
          </w:p>
        </w:tc>
        <w:tc>
          <w:tcPr>
            <w:tcW w:w="4678" w:type="dxa"/>
            <w:shd w:val="clear" w:color="auto" w:fill="auto"/>
          </w:tcPr>
          <w:p w14:paraId="7DA4E443"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Consider whether an occupancy restriction is appropriate as seems to be suggested here to ensure a property is wheelchair accessible in perpetuity. Circular 3/2012 sets out the policy on occupancy restrictions. </w:t>
            </w:r>
          </w:p>
        </w:tc>
        <w:tc>
          <w:tcPr>
            <w:tcW w:w="6095" w:type="dxa"/>
            <w:shd w:val="clear" w:color="auto" w:fill="auto"/>
          </w:tcPr>
          <w:p w14:paraId="39D5D4A7"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 The intention is to ensure the property is maintained as wheelchair accessible rather than any restriction on occupancy. For clarity, amend last sentence in paragraph 4.9 to read:</w:t>
            </w:r>
          </w:p>
          <w:p w14:paraId="5B4BDD50" w14:textId="77777777" w:rsidR="0066562F" w:rsidRPr="00F461C2" w:rsidRDefault="0066562F" w:rsidP="0010511E">
            <w:pPr>
              <w:rPr>
                <w:rFonts w:ascii="Arial" w:hAnsi="Arial" w:cs="Arial"/>
                <w:i/>
                <w:sz w:val="20"/>
                <w:szCs w:val="20"/>
              </w:rPr>
            </w:pPr>
            <w:r w:rsidRPr="00F461C2">
              <w:rPr>
                <w:rFonts w:ascii="Arial" w:hAnsi="Arial" w:cs="Arial"/>
                <w:i/>
                <w:sz w:val="20"/>
                <w:szCs w:val="20"/>
              </w:rPr>
              <w:t xml:space="preserve">‘The mechanism to ensure that wheelchair accessible properties are maintained as such may be through a planning obligation or other legal requirement on the property.’ </w:t>
            </w:r>
          </w:p>
        </w:tc>
      </w:tr>
      <w:tr w:rsidR="0066562F" w:rsidRPr="00F461C2" w14:paraId="2FCD3174" w14:textId="77777777" w:rsidTr="0010511E">
        <w:tc>
          <w:tcPr>
            <w:tcW w:w="1696" w:type="dxa"/>
            <w:shd w:val="clear" w:color="auto" w:fill="auto"/>
          </w:tcPr>
          <w:p w14:paraId="38B53B71"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Scottish Government </w:t>
            </w:r>
            <w:r w:rsidRPr="00F461C2">
              <w:rPr>
                <w:rFonts w:ascii="Arial" w:hAnsi="Arial" w:cs="Arial"/>
                <w:sz w:val="20"/>
                <w:szCs w:val="20"/>
              </w:rPr>
              <w:lastRenderedPageBreak/>
              <w:t>Planning and Architecture</w:t>
            </w:r>
          </w:p>
        </w:tc>
        <w:tc>
          <w:tcPr>
            <w:tcW w:w="1701" w:type="dxa"/>
            <w:shd w:val="clear" w:color="auto" w:fill="auto"/>
          </w:tcPr>
          <w:p w14:paraId="1BB62EAD"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 xml:space="preserve">Para. 6.2 Delivering </w:t>
            </w:r>
            <w:r w:rsidRPr="00F461C2">
              <w:rPr>
                <w:rFonts w:ascii="Arial" w:hAnsi="Arial" w:cs="Arial"/>
                <w:sz w:val="20"/>
                <w:szCs w:val="20"/>
              </w:rPr>
              <w:lastRenderedPageBreak/>
              <w:t>Affordable Housing. On Site Delivery</w:t>
            </w:r>
          </w:p>
        </w:tc>
        <w:tc>
          <w:tcPr>
            <w:tcW w:w="4678" w:type="dxa"/>
            <w:shd w:val="clear" w:color="auto" w:fill="auto"/>
          </w:tcPr>
          <w:p w14:paraId="37296768"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 xml:space="preserve">Revise to reflect the Housing Service’s role correctly. </w:t>
            </w:r>
          </w:p>
        </w:tc>
        <w:tc>
          <w:tcPr>
            <w:tcW w:w="6095" w:type="dxa"/>
            <w:shd w:val="clear" w:color="auto" w:fill="auto"/>
          </w:tcPr>
          <w:p w14:paraId="4A70E256"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accepted. Amend second sentence to read: </w:t>
            </w:r>
          </w:p>
          <w:p w14:paraId="67A7EA1C" w14:textId="77777777" w:rsidR="0066562F" w:rsidRPr="00F461C2" w:rsidRDefault="0066562F" w:rsidP="0010511E">
            <w:pPr>
              <w:rPr>
                <w:rFonts w:ascii="Arial" w:hAnsi="Arial" w:cs="Arial"/>
                <w:i/>
                <w:sz w:val="20"/>
                <w:szCs w:val="20"/>
              </w:rPr>
            </w:pPr>
            <w:r w:rsidRPr="00F461C2">
              <w:rPr>
                <w:rFonts w:ascii="Arial" w:hAnsi="Arial" w:cs="Arial"/>
                <w:i/>
                <w:sz w:val="20"/>
                <w:szCs w:val="20"/>
              </w:rPr>
              <w:lastRenderedPageBreak/>
              <w:t xml:space="preserve">‘The tenure type, mix and size of the properties must be agreed with the Housing Service which is responsible for the Local Housing Strategy and the Strategic Housing Investment Programme for the area.’ </w:t>
            </w:r>
          </w:p>
        </w:tc>
      </w:tr>
      <w:tr w:rsidR="0066562F" w:rsidRPr="00F461C2" w14:paraId="1F049450" w14:textId="77777777" w:rsidTr="0010511E">
        <w:tc>
          <w:tcPr>
            <w:tcW w:w="1696" w:type="dxa"/>
            <w:shd w:val="clear" w:color="auto" w:fill="auto"/>
          </w:tcPr>
          <w:p w14:paraId="6DEEFD97"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Justin Lamb Associates</w:t>
            </w:r>
          </w:p>
        </w:tc>
        <w:tc>
          <w:tcPr>
            <w:tcW w:w="1701" w:type="dxa"/>
            <w:shd w:val="clear" w:color="auto" w:fill="auto"/>
          </w:tcPr>
          <w:p w14:paraId="04836A84" w14:textId="77777777" w:rsidR="0066562F" w:rsidRPr="00F461C2" w:rsidRDefault="0066562F" w:rsidP="0010511E">
            <w:pPr>
              <w:rPr>
                <w:rFonts w:ascii="Arial" w:hAnsi="Arial" w:cs="Arial"/>
                <w:sz w:val="20"/>
                <w:szCs w:val="20"/>
              </w:rPr>
            </w:pPr>
            <w:r w:rsidRPr="00F461C2">
              <w:rPr>
                <w:rFonts w:ascii="Arial" w:hAnsi="Arial" w:cs="Arial"/>
                <w:sz w:val="20"/>
                <w:szCs w:val="20"/>
              </w:rPr>
              <w:t>Para 2.1 Policy</w:t>
            </w:r>
          </w:p>
        </w:tc>
        <w:tc>
          <w:tcPr>
            <w:tcW w:w="4678" w:type="dxa"/>
            <w:shd w:val="clear" w:color="auto" w:fill="auto"/>
          </w:tcPr>
          <w:p w14:paraId="409A09B8"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The threshold of 20 units and the application of different requirements of 15 or 25% across the local authority is welcomed. </w:t>
            </w:r>
          </w:p>
        </w:tc>
        <w:tc>
          <w:tcPr>
            <w:tcW w:w="6095" w:type="dxa"/>
            <w:shd w:val="clear" w:color="auto" w:fill="auto"/>
          </w:tcPr>
          <w:p w14:paraId="7073A16C"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w:t>
            </w:r>
          </w:p>
        </w:tc>
      </w:tr>
      <w:tr w:rsidR="0066562F" w:rsidRPr="00F461C2" w14:paraId="1D728831" w14:textId="77777777" w:rsidTr="0010511E">
        <w:tc>
          <w:tcPr>
            <w:tcW w:w="1696" w:type="dxa"/>
            <w:shd w:val="clear" w:color="auto" w:fill="auto"/>
          </w:tcPr>
          <w:p w14:paraId="0DBA8015"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Justin Lamb Associates</w:t>
            </w:r>
          </w:p>
        </w:tc>
        <w:tc>
          <w:tcPr>
            <w:tcW w:w="1701" w:type="dxa"/>
            <w:shd w:val="clear" w:color="auto" w:fill="auto"/>
          </w:tcPr>
          <w:p w14:paraId="46D04FE3" w14:textId="77777777" w:rsidR="0066562F" w:rsidRPr="00F461C2" w:rsidRDefault="0066562F" w:rsidP="0010511E">
            <w:pPr>
              <w:rPr>
                <w:rFonts w:ascii="Arial" w:hAnsi="Arial" w:cs="Arial"/>
                <w:sz w:val="20"/>
                <w:szCs w:val="20"/>
              </w:rPr>
            </w:pPr>
            <w:r w:rsidRPr="00F461C2">
              <w:rPr>
                <w:rFonts w:ascii="Arial" w:hAnsi="Arial" w:cs="Arial"/>
                <w:sz w:val="20"/>
                <w:szCs w:val="20"/>
              </w:rPr>
              <w:t>Para 2.3 Policy</w:t>
            </w:r>
          </w:p>
        </w:tc>
        <w:tc>
          <w:tcPr>
            <w:tcW w:w="4678" w:type="dxa"/>
            <w:shd w:val="clear" w:color="auto" w:fill="auto"/>
          </w:tcPr>
          <w:p w14:paraId="4095A263"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The initiative to deliver more wheelchair accessible housing is welcomed. Query about whether there will be detailed guidance on how and when this could be provided and under what circumstances the Council would favour this approach. </w:t>
            </w:r>
          </w:p>
        </w:tc>
        <w:tc>
          <w:tcPr>
            <w:tcW w:w="6095" w:type="dxa"/>
            <w:shd w:val="clear" w:color="auto" w:fill="auto"/>
          </w:tcPr>
          <w:p w14:paraId="47839185"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noted. Additional text in paragraph 2.3 and 7.3 has been added to provide more clarity on the requirement (see above). Otherwise, the Council will take a </w:t>
            </w:r>
            <w:proofErr w:type="gramStart"/>
            <w:r w:rsidRPr="00F461C2">
              <w:rPr>
                <w:rFonts w:ascii="Arial" w:hAnsi="Arial" w:cs="Arial"/>
                <w:sz w:val="20"/>
                <w:szCs w:val="20"/>
              </w:rPr>
              <w:t>case by case</w:t>
            </w:r>
            <w:proofErr w:type="gramEnd"/>
            <w:r w:rsidRPr="00F461C2">
              <w:rPr>
                <w:rFonts w:ascii="Arial" w:hAnsi="Arial" w:cs="Arial"/>
                <w:sz w:val="20"/>
                <w:szCs w:val="20"/>
              </w:rPr>
              <w:t xml:space="preserve"> approach for each proposal. Early engagement pre- application is recommended. A mechanism may be required to ensure that units remain wheelchair accessible in perpetuity.  </w:t>
            </w:r>
          </w:p>
        </w:tc>
      </w:tr>
      <w:tr w:rsidR="0066562F" w:rsidRPr="00F461C2" w14:paraId="4D022D45" w14:textId="77777777" w:rsidTr="0010511E">
        <w:tc>
          <w:tcPr>
            <w:tcW w:w="1696" w:type="dxa"/>
            <w:shd w:val="clear" w:color="auto" w:fill="auto"/>
          </w:tcPr>
          <w:p w14:paraId="4DDF705B"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Justin Lamb Associates</w:t>
            </w:r>
          </w:p>
        </w:tc>
        <w:tc>
          <w:tcPr>
            <w:tcW w:w="1701" w:type="dxa"/>
            <w:shd w:val="clear" w:color="auto" w:fill="auto"/>
          </w:tcPr>
          <w:p w14:paraId="0FE62183" w14:textId="77777777" w:rsidR="0066562F" w:rsidRPr="00F461C2" w:rsidRDefault="0066562F" w:rsidP="0010511E">
            <w:pPr>
              <w:rPr>
                <w:rFonts w:ascii="Arial" w:hAnsi="Arial" w:cs="Arial"/>
                <w:sz w:val="20"/>
                <w:szCs w:val="20"/>
              </w:rPr>
            </w:pPr>
            <w:r w:rsidRPr="00F461C2">
              <w:rPr>
                <w:rFonts w:ascii="Arial" w:hAnsi="Arial" w:cs="Arial"/>
                <w:sz w:val="20"/>
                <w:szCs w:val="20"/>
              </w:rPr>
              <w:t>Para 4.2 Types of Affordable Housing</w:t>
            </w:r>
          </w:p>
        </w:tc>
        <w:tc>
          <w:tcPr>
            <w:tcW w:w="4678" w:type="dxa"/>
            <w:shd w:val="clear" w:color="auto" w:fill="auto"/>
          </w:tcPr>
          <w:p w14:paraId="0AA058E3"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Query whether intermediate rent would be considered as an approved tenure, this is unsubsidised mid-market rent, delivered by the developer with no public subsidy. </w:t>
            </w:r>
          </w:p>
        </w:tc>
        <w:tc>
          <w:tcPr>
            <w:tcW w:w="6095" w:type="dxa"/>
            <w:shd w:val="clear" w:color="auto" w:fill="auto"/>
          </w:tcPr>
          <w:p w14:paraId="447EBC14"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noted. The Council’s preferred approach is to deliver social rented properties. Unsubsidised mid-market rent is not favoured as the margin between private rent and the local housing allowance rate is minimal in the Falkirk Council area. </w:t>
            </w:r>
          </w:p>
        </w:tc>
      </w:tr>
      <w:tr w:rsidR="0066562F" w:rsidRPr="00F461C2" w14:paraId="227C9FCE" w14:textId="77777777" w:rsidTr="0010511E">
        <w:tc>
          <w:tcPr>
            <w:tcW w:w="1696" w:type="dxa"/>
            <w:shd w:val="clear" w:color="auto" w:fill="auto"/>
          </w:tcPr>
          <w:p w14:paraId="678FA062"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Justin Lamb Associates</w:t>
            </w:r>
          </w:p>
        </w:tc>
        <w:tc>
          <w:tcPr>
            <w:tcW w:w="1701" w:type="dxa"/>
            <w:shd w:val="clear" w:color="auto" w:fill="auto"/>
          </w:tcPr>
          <w:p w14:paraId="0C08B429" w14:textId="77777777" w:rsidR="0066562F" w:rsidRPr="00F461C2" w:rsidRDefault="0066562F" w:rsidP="0010511E">
            <w:pPr>
              <w:rPr>
                <w:rFonts w:ascii="Arial" w:hAnsi="Arial" w:cs="Arial"/>
                <w:sz w:val="20"/>
                <w:szCs w:val="20"/>
              </w:rPr>
            </w:pPr>
            <w:r w:rsidRPr="00F461C2">
              <w:rPr>
                <w:rFonts w:ascii="Arial" w:hAnsi="Arial" w:cs="Arial"/>
                <w:sz w:val="20"/>
                <w:szCs w:val="20"/>
              </w:rPr>
              <w:t>Para 5.2/5.3 Priority Groups for Affordable Housing</w:t>
            </w:r>
          </w:p>
        </w:tc>
        <w:tc>
          <w:tcPr>
            <w:tcW w:w="4678" w:type="dxa"/>
            <w:shd w:val="clear" w:color="auto" w:fill="auto"/>
          </w:tcPr>
          <w:p w14:paraId="44F4333B"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Preference for the term “eligible households” rather than “key worker” which changes focus to earnings and affordability and ability to purchase rather than occupation. Would inclusion of the self-employed or sole traders be considered, as </w:t>
            </w:r>
            <w:proofErr w:type="gramStart"/>
            <w:r w:rsidRPr="00F461C2">
              <w:rPr>
                <w:rFonts w:ascii="Arial" w:hAnsi="Arial" w:cs="Arial"/>
                <w:sz w:val="20"/>
                <w:szCs w:val="20"/>
              </w:rPr>
              <w:t>low cost</w:t>
            </w:r>
            <w:proofErr w:type="gramEnd"/>
            <w:r w:rsidRPr="00F461C2">
              <w:rPr>
                <w:rFonts w:ascii="Arial" w:hAnsi="Arial" w:cs="Arial"/>
                <w:sz w:val="20"/>
                <w:szCs w:val="20"/>
              </w:rPr>
              <w:t xml:space="preserve"> ownership can help this group?</w:t>
            </w:r>
          </w:p>
        </w:tc>
        <w:tc>
          <w:tcPr>
            <w:tcW w:w="6095" w:type="dxa"/>
            <w:shd w:val="clear" w:color="auto" w:fill="auto"/>
          </w:tcPr>
          <w:p w14:paraId="675E29F6"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 Figure 5 highlights the main priority groups so is not exclusive. People on low incomes are included as a priority group and the key worker definition can include private sector employees providing essential services.  Self-employed people working in the roles listed in paragraph 5.4 can be classed as key workers.</w:t>
            </w:r>
          </w:p>
        </w:tc>
      </w:tr>
      <w:tr w:rsidR="0066562F" w:rsidRPr="00F461C2" w14:paraId="01A20996" w14:textId="77777777" w:rsidTr="0010511E">
        <w:tc>
          <w:tcPr>
            <w:tcW w:w="1696" w:type="dxa"/>
            <w:shd w:val="clear" w:color="auto" w:fill="auto"/>
          </w:tcPr>
          <w:p w14:paraId="220B68B8"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Justin Lamb Associates</w:t>
            </w:r>
          </w:p>
        </w:tc>
        <w:tc>
          <w:tcPr>
            <w:tcW w:w="1701" w:type="dxa"/>
            <w:shd w:val="clear" w:color="auto" w:fill="auto"/>
          </w:tcPr>
          <w:p w14:paraId="2ABD2E3E" w14:textId="77777777" w:rsidR="0066562F" w:rsidRPr="00F461C2" w:rsidRDefault="0066562F" w:rsidP="0010511E">
            <w:pPr>
              <w:rPr>
                <w:rFonts w:ascii="Arial" w:hAnsi="Arial" w:cs="Arial"/>
                <w:sz w:val="20"/>
                <w:szCs w:val="20"/>
              </w:rPr>
            </w:pPr>
            <w:r w:rsidRPr="00F461C2">
              <w:rPr>
                <w:rFonts w:ascii="Arial" w:hAnsi="Arial" w:cs="Arial"/>
                <w:sz w:val="20"/>
                <w:szCs w:val="20"/>
              </w:rPr>
              <w:t>Para 6.1 Delivering Affordable Housing</w:t>
            </w:r>
          </w:p>
        </w:tc>
        <w:tc>
          <w:tcPr>
            <w:tcW w:w="4678" w:type="dxa"/>
            <w:shd w:val="clear" w:color="auto" w:fill="auto"/>
          </w:tcPr>
          <w:p w14:paraId="36A3BA5E"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Clarify if this relates to identified local housing need with an approved tenure which is viable and well integrated in design terms. </w:t>
            </w:r>
          </w:p>
        </w:tc>
        <w:tc>
          <w:tcPr>
            <w:tcW w:w="6095" w:type="dxa"/>
            <w:shd w:val="clear" w:color="auto" w:fill="auto"/>
          </w:tcPr>
          <w:p w14:paraId="42318AAE"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 The preference is for social rented housing, if this cannot be provided, local needs assessments carried out by the housing strategy team can provide further detail on the tenure mix required on site. Social rented housing must be built to housing for varying needs standards.</w:t>
            </w:r>
          </w:p>
        </w:tc>
      </w:tr>
      <w:tr w:rsidR="0066562F" w:rsidRPr="00F461C2" w14:paraId="0E533444" w14:textId="77777777" w:rsidTr="0010511E">
        <w:tc>
          <w:tcPr>
            <w:tcW w:w="1696" w:type="dxa"/>
            <w:shd w:val="clear" w:color="auto" w:fill="auto"/>
          </w:tcPr>
          <w:p w14:paraId="405660D6"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Justin Lamb Associates</w:t>
            </w:r>
          </w:p>
        </w:tc>
        <w:tc>
          <w:tcPr>
            <w:tcW w:w="1701" w:type="dxa"/>
            <w:shd w:val="clear" w:color="auto" w:fill="auto"/>
          </w:tcPr>
          <w:p w14:paraId="4CCDC510" w14:textId="77777777" w:rsidR="0066562F" w:rsidRPr="00F461C2" w:rsidRDefault="0066562F" w:rsidP="0010511E">
            <w:pPr>
              <w:rPr>
                <w:rFonts w:ascii="Arial" w:hAnsi="Arial" w:cs="Arial"/>
                <w:sz w:val="20"/>
                <w:szCs w:val="20"/>
              </w:rPr>
            </w:pPr>
            <w:r w:rsidRPr="00F461C2">
              <w:rPr>
                <w:rFonts w:ascii="Arial" w:hAnsi="Arial" w:cs="Arial"/>
                <w:sz w:val="20"/>
                <w:szCs w:val="20"/>
              </w:rPr>
              <w:t>Para 6.7</w:t>
            </w:r>
          </w:p>
        </w:tc>
        <w:tc>
          <w:tcPr>
            <w:tcW w:w="4678" w:type="dxa"/>
            <w:shd w:val="clear" w:color="auto" w:fill="auto"/>
          </w:tcPr>
          <w:p w14:paraId="0D0DDB85" w14:textId="77777777" w:rsidR="0066562F" w:rsidRPr="00F461C2" w:rsidRDefault="0066562F" w:rsidP="0010511E">
            <w:pPr>
              <w:rPr>
                <w:rFonts w:ascii="Arial" w:hAnsi="Arial" w:cs="Arial"/>
                <w:sz w:val="20"/>
                <w:szCs w:val="20"/>
              </w:rPr>
            </w:pPr>
            <w:r w:rsidRPr="00F461C2">
              <w:rPr>
                <w:rFonts w:ascii="Arial" w:hAnsi="Arial" w:cs="Arial"/>
                <w:sz w:val="20"/>
                <w:szCs w:val="20"/>
              </w:rPr>
              <w:t>Third bullet point add “Where possible” at start to reflect difficulty of alignment of planning applications on different sites.</w:t>
            </w:r>
          </w:p>
        </w:tc>
        <w:tc>
          <w:tcPr>
            <w:tcW w:w="6095" w:type="dxa"/>
            <w:shd w:val="clear" w:color="auto" w:fill="auto"/>
          </w:tcPr>
          <w:p w14:paraId="67AB3596" w14:textId="77777777" w:rsidR="0066562F" w:rsidRPr="00F461C2" w:rsidRDefault="0066562F" w:rsidP="0010511E">
            <w:pPr>
              <w:rPr>
                <w:rFonts w:ascii="Arial" w:hAnsi="Arial" w:cs="Arial"/>
                <w:sz w:val="20"/>
                <w:szCs w:val="20"/>
              </w:rPr>
            </w:pPr>
            <w:r w:rsidRPr="00F461C2">
              <w:rPr>
                <w:rFonts w:ascii="Arial" w:hAnsi="Arial" w:cs="Arial"/>
                <w:sz w:val="20"/>
                <w:szCs w:val="20"/>
              </w:rPr>
              <w:t>Comment accepted. Assumed to relate to fourth bullet point. Agreed, each planning application would have to be assessed on its own merits in any case. Amended wording:</w:t>
            </w:r>
          </w:p>
          <w:p w14:paraId="2E33A524" w14:textId="77777777" w:rsidR="0066562F" w:rsidRPr="00F461C2" w:rsidRDefault="0066562F" w:rsidP="0010511E">
            <w:pPr>
              <w:rPr>
                <w:rFonts w:ascii="Arial" w:hAnsi="Arial" w:cs="Arial"/>
                <w:sz w:val="20"/>
                <w:szCs w:val="20"/>
              </w:rPr>
            </w:pPr>
            <w:r w:rsidRPr="00F461C2">
              <w:rPr>
                <w:rFonts w:ascii="Arial" w:hAnsi="Arial" w:cs="Arial"/>
                <w:sz w:val="20"/>
                <w:szCs w:val="20"/>
              </w:rPr>
              <w:t>Add ‘</w:t>
            </w:r>
            <w:r w:rsidRPr="00F461C2">
              <w:rPr>
                <w:rFonts w:ascii="Arial" w:hAnsi="Arial" w:cs="Arial"/>
                <w:i/>
                <w:sz w:val="20"/>
                <w:szCs w:val="20"/>
              </w:rPr>
              <w:t>Where possible if’</w:t>
            </w:r>
            <w:r w:rsidRPr="00F461C2">
              <w:rPr>
                <w:rFonts w:ascii="Arial" w:hAnsi="Arial" w:cs="Arial"/>
                <w:sz w:val="20"/>
                <w:szCs w:val="20"/>
              </w:rPr>
              <w:t xml:space="preserve"> at start of fourth bullet point.</w:t>
            </w:r>
          </w:p>
        </w:tc>
      </w:tr>
      <w:tr w:rsidR="0066562F" w:rsidRPr="00F461C2" w14:paraId="5B750E23" w14:textId="77777777" w:rsidTr="0010511E">
        <w:tc>
          <w:tcPr>
            <w:tcW w:w="1696" w:type="dxa"/>
            <w:shd w:val="clear" w:color="auto" w:fill="auto"/>
          </w:tcPr>
          <w:p w14:paraId="2908D48B"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Justin Lamb Associates</w:t>
            </w:r>
          </w:p>
        </w:tc>
        <w:tc>
          <w:tcPr>
            <w:tcW w:w="1701" w:type="dxa"/>
            <w:shd w:val="clear" w:color="auto" w:fill="auto"/>
          </w:tcPr>
          <w:p w14:paraId="52CEA90B" w14:textId="77777777" w:rsidR="0066562F" w:rsidRPr="00F461C2" w:rsidRDefault="0066562F" w:rsidP="0010511E">
            <w:pPr>
              <w:rPr>
                <w:rFonts w:ascii="Arial" w:hAnsi="Arial" w:cs="Arial"/>
                <w:sz w:val="20"/>
                <w:szCs w:val="20"/>
              </w:rPr>
            </w:pPr>
            <w:r w:rsidRPr="00F461C2">
              <w:rPr>
                <w:rFonts w:ascii="Arial" w:hAnsi="Arial" w:cs="Arial"/>
                <w:sz w:val="20"/>
                <w:szCs w:val="20"/>
              </w:rPr>
              <w:t>Para 6.8/6.9</w:t>
            </w:r>
          </w:p>
        </w:tc>
        <w:tc>
          <w:tcPr>
            <w:tcW w:w="4678" w:type="dxa"/>
            <w:shd w:val="clear" w:color="auto" w:fill="auto"/>
          </w:tcPr>
          <w:p w14:paraId="5D37EEF3"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Note that there is no national consensus on this process. The Council could more closely align with paragraphs 19 and 22 of PAN2/10 by valuing a commuted sum on the percentage of land required on the principal site and applying the land value of the principal site to that fraction. </w:t>
            </w:r>
          </w:p>
        </w:tc>
        <w:tc>
          <w:tcPr>
            <w:tcW w:w="6095" w:type="dxa"/>
            <w:shd w:val="clear" w:color="auto" w:fill="auto"/>
          </w:tcPr>
          <w:p w14:paraId="45D6C5F4"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noted. The Council uses the District Valuer to calculate the commuted sum in accordance with PAN 2/2010 and takes into account the cost of providing serviced land in the same housing </w:t>
            </w:r>
            <w:proofErr w:type="gramStart"/>
            <w:r w:rsidRPr="00F461C2">
              <w:rPr>
                <w:rFonts w:ascii="Arial" w:hAnsi="Arial" w:cs="Arial"/>
                <w:sz w:val="20"/>
                <w:szCs w:val="20"/>
              </w:rPr>
              <w:t>sub market</w:t>
            </w:r>
            <w:proofErr w:type="gramEnd"/>
            <w:r w:rsidRPr="00F461C2">
              <w:rPr>
                <w:rFonts w:ascii="Arial" w:hAnsi="Arial" w:cs="Arial"/>
                <w:sz w:val="20"/>
                <w:szCs w:val="20"/>
              </w:rPr>
              <w:t xml:space="preserve"> area to give a better indication of the land value.  </w:t>
            </w:r>
          </w:p>
        </w:tc>
      </w:tr>
      <w:tr w:rsidR="0066562F" w:rsidRPr="00F461C2" w14:paraId="05682D95" w14:textId="77777777" w:rsidTr="0010511E">
        <w:tc>
          <w:tcPr>
            <w:tcW w:w="1696" w:type="dxa"/>
            <w:shd w:val="clear" w:color="auto" w:fill="auto"/>
          </w:tcPr>
          <w:p w14:paraId="34AC2F28"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Justin Lamb Associates</w:t>
            </w:r>
          </w:p>
        </w:tc>
        <w:tc>
          <w:tcPr>
            <w:tcW w:w="1701" w:type="dxa"/>
            <w:shd w:val="clear" w:color="auto" w:fill="auto"/>
          </w:tcPr>
          <w:p w14:paraId="4C99CE39" w14:textId="77777777" w:rsidR="0066562F" w:rsidRPr="00F461C2" w:rsidRDefault="0066562F" w:rsidP="0010511E">
            <w:pPr>
              <w:rPr>
                <w:rFonts w:ascii="Arial" w:hAnsi="Arial" w:cs="Arial"/>
                <w:sz w:val="20"/>
                <w:szCs w:val="20"/>
              </w:rPr>
            </w:pPr>
            <w:r w:rsidRPr="00F461C2">
              <w:rPr>
                <w:rFonts w:ascii="Arial" w:hAnsi="Arial" w:cs="Arial"/>
                <w:sz w:val="20"/>
                <w:szCs w:val="20"/>
              </w:rPr>
              <w:t>Para 7.3 Development Management Procedures</w:t>
            </w:r>
          </w:p>
        </w:tc>
        <w:tc>
          <w:tcPr>
            <w:tcW w:w="4678" w:type="dxa"/>
            <w:shd w:val="clear" w:color="auto" w:fill="auto"/>
          </w:tcPr>
          <w:p w14:paraId="43893F7E" w14:textId="77777777" w:rsidR="0066562F" w:rsidRPr="00F461C2" w:rsidRDefault="0066562F" w:rsidP="0010511E">
            <w:pPr>
              <w:rPr>
                <w:rFonts w:ascii="Arial" w:hAnsi="Arial" w:cs="Arial"/>
                <w:sz w:val="20"/>
                <w:szCs w:val="20"/>
              </w:rPr>
            </w:pPr>
            <w:r w:rsidRPr="00F461C2">
              <w:rPr>
                <w:rFonts w:ascii="Arial" w:hAnsi="Arial" w:cs="Arial"/>
                <w:sz w:val="20"/>
                <w:szCs w:val="20"/>
              </w:rPr>
              <w:t>Request for renewals to be made exempt.</w:t>
            </w:r>
          </w:p>
        </w:tc>
        <w:tc>
          <w:tcPr>
            <w:tcW w:w="6095" w:type="dxa"/>
            <w:shd w:val="clear" w:color="auto" w:fill="auto"/>
          </w:tcPr>
          <w:p w14:paraId="03559600"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 accepted. Applications need to be considered against the current circumstances and policy position in the area and it would not be appropriate to base contributions on the situation pertaining at the time the original consent was granted. </w:t>
            </w:r>
          </w:p>
        </w:tc>
      </w:tr>
      <w:tr w:rsidR="0066562F" w:rsidRPr="00F461C2" w14:paraId="475DF547" w14:textId="77777777" w:rsidTr="0010511E">
        <w:tc>
          <w:tcPr>
            <w:tcW w:w="1696" w:type="dxa"/>
            <w:shd w:val="clear" w:color="auto" w:fill="auto"/>
          </w:tcPr>
          <w:p w14:paraId="08A96DB9"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lastRenderedPageBreak/>
              <w:t>Justin Lamb Associates</w:t>
            </w:r>
          </w:p>
        </w:tc>
        <w:tc>
          <w:tcPr>
            <w:tcW w:w="1701" w:type="dxa"/>
            <w:shd w:val="clear" w:color="auto" w:fill="auto"/>
          </w:tcPr>
          <w:p w14:paraId="66E2F559" w14:textId="77777777" w:rsidR="0066562F" w:rsidRPr="00F461C2" w:rsidRDefault="0066562F" w:rsidP="0010511E">
            <w:pPr>
              <w:rPr>
                <w:rFonts w:ascii="Arial" w:hAnsi="Arial" w:cs="Arial"/>
                <w:sz w:val="20"/>
                <w:szCs w:val="20"/>
              </w:rPr>
            </w:pPr>
            <w:r w:rsidRPr="00F461C2">
              <w:rPr>
                <w:rFonts w:ascii="Arial" w:hAnsi="Arial" w:cs="Arial"/>
                <w:sz w:val="20"/>
                <w:szCs w:val="20"/>
              </w:rPr>
              <w:t>Para 7.6</w:t>
            </w:r>
          </w:p>
        </w:tc>
        <w:tc>
          <w:tcPr>
            <w:tcW w:w="4678" w:type="dxa"/>
            <w:shd w:val="clear" w:color="auto" w:fill="auto"/>
          </w:tcPr>
          <w:p w14:paraId="2BEB3871"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Clarify what approach is adopted if a S.75 obligation cannot be agreed within 6 months. </w:t>
            </w:r>
          </w:p>
        </w:tc>
        <w:tc>
          <w:tcPr>
            <w:tcW w:w="6095" w:type="dxa"/>
            <w:shd w:val="clear" w:color="auto" w:fill="auto"/>
          </w:tcPr>
          <w:p w14:paraId="79E10A1C"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noted. Where good progress is being made on S75 negotiations the Council will agree to extend the period for consideration. Amend third sentence to read: </w:t>
            </w:r>
          </w:p>
          <w:p w14:paraId="494DC3D1" w14:textId="77777777" w:rsidR="0066562F" w:rsidRPr="00F461C2" w:rsidRDefault="0066562F" w:rsidP="0010511E">
            <w:pPr>
              <w:rPr>
                <w:rFonts w:ascii="Arial" w:hAnsi="Arial" w:cs="Arial"/>
                <w:i/>
                <w:sz w:val="20"/>
                <w:szCs w:val="20"/>
              </w:rPr>
            </w:pPr>
            <w:r w:rsidRPr="00F461C2">
              <w:rPr>
                <w:rFonts w:ascii="Arial" w:hAnsi="Arial" w:cs="Arial"/>
                <w:i/>
                <w:sz w:val="20"/>
                <w:szCs w:val="20"/>
              </w:rPr>
              <w:t>‘If not concluded, the planning application may be considered for refusal where sufficient progress is not being made on the agreement.’</w:t>
            </w:r>
          </w:p>
        </w:tc>
      </w:tr>
      <w:tr w:rsidR="0066562F" w:rsidRPr="00F461C2" w14:paraId="2503D331" w14:textId="77777777" w:rsidTr="0010511E">
        <w:tc>
          <w:tcPr>
            <w:tcW w:w="1696" w:type="dxa"/>
            <w:shd w:val="clear" w:color="auto" w:fill="auto"/>
          </w:tcPr>
          <w:p w14:paraId="7A978226" w14:textId="77777777" w:rsidR="0066562F" w:rsidRPr="00F461C2" w:rsidRDefault="0066562F" w:rsidP="0010511E">
            <w:pPr>
              <w:spacing w:after="160" w:line="259" w:lineRule="auto"/>
              <w:rPr>
                <w:rFonts w:ascii="Arial" w:hAnsi="Arial" w:cs="Arial"/>
                <w:sz w:val="20"/>
                <w:szCs w:val="20"/>
              </w:rPr>
            </w:pPr>
            <w:r w:rsidRPr="00F461C2">
              <w:rPr>
                <w:rFonts w:ascii="Arial" w:hAnsi="Arial" w:cs="Arial"/>
                <w:sz w:val="20"/>
                <w:szCs w:val="20"/>
              </w:rPr>
              <w:t>Justin Lamb Associates</w:t>
            </w:r>
          </w:p>
        </w:tc>
        <w:tc>
          <w:tcPr>
            <w:tcW w:w="1701" w:type="dxa"/>
            <w:shd w:val="clear" w:color="auto" w:fill="auto"/>
          </w:tcPr>
          <w:p w14:paraId="2168F873" w14:textId="77777777" w:rsidR="0066562F" w:rsidRPr="00F461C2" w:rsidRDefault="0066562F" w:rsidP="0010511E">
            <w:pPr>
              <w:rPr>
                <w:rFonts w:ascii="Arial" w:hAnsi="Arial" w:cs="Arial"/>
                <w:sz w:val="20"/>
                <w:szCs w:val="20"/>
              </w:rPr>
            </w:pPr>
            <w:r w:rsidRPr="00F461C2">
              <w:rPr>
                <w:rFonts w:ascii="Arial" w:hAnsi="Arial" w:cs="Arial"/>
                <w:sz w:val="20"/>
                <w:szCs w:val="20"/>
              </w:rPr>
              <w:t>Para 9.4/9.8 Design and Housing Standards</w:t>
            </w:r>
          </w:p>
        </w:tc>
        <w:tc>
          <w:tcPr>
            <w:tcW w:w="4678" w:type="dxa"/>
            <w:shd w:val="clear" w:color="auto" w:fill="auto"/>
          </w:tcPr>
          <w:p w14:paraId="53100501" w14:textId="77777777" w:rsidR="0066562F" w:rsidRPr="00F461C2" w:rsidRDefault="0066562F" w:rsidP="0010511E">
            <w:pPr>
              <w:rPr>
                <w:rFonts w:ascii="Arial" w:hAnsi="Arial" w:cs="Arial"/>
                <w:sz w:val="20"/>
                <w:szCs w:val="20"/>
              </w:rPr>
            </w:pPr>
            <w:r w:rsidRPr="00F461C2">
              <w:rPr>
                <w:rFonts w:ascii="Arial" w:hAnsi="Arial" w:cs="Arial"/>
                <w:sz w:val="20"/>
                <w:szCs w:val="20"/>
              </w:rPr>
              <w:t>RSLs prefer to consolidate stock in one location on site and the Council’s preference seems to suggest pepper-potting is preferred. Clarity is requested on the preferred approach.</w:t>
            </w:r>
          </w:p>
        </w:tc>
        <w:tc>
          <w:tcPr>
            <w:tcW w:w="6095" w:type="dxa"/>
            <w:shd w:val="clear" w:color="auto" w:fill="auto"/>
          </w:tcPr>
          <w:p w14:paraId="289CDE2B"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noted. Pepper potting relates to single homes and a grouping of properties is preferred. An integrated approach favours this option as stated in para 9.8 and notes that the final distribution will </w:t>
            </w:r>
            <w:proofErr w:type="gramStart"/>
            <w:r w:rsidRPr="00F461C2">
              <w:rPr>
                <w:rFonts w:ascii="Arial" w:hAnsi="Arial" w:cs="Arial"/>
                <w:sz w:val="20"/>
                <w:szCs w:val="20"/>
              </w:rPr>
              <w:t>agreed</w:t>
            </w:r>
            <w:proofErr w:type="gramEnd"/>
            <w:r w:rsidRPr="00F461C2">
              <w:rPr>
                <w:rFonts w:ascii="Arial" w:hAnsi="Arial" w:cs="Arial"/>
                <w:sz w:val="20"/>
                <w:szCs w:val="20"/>
              </w:rPr>
              <w:t xml:space="preserve"> on a site by site basis.  </w:t>
            </w:r>
          </w:p>
        </w:tc>
      </w:tr>
    </w:tbl>
    <w:p w14:paraId="1EC9C1CA" w14:textId="77777777" w:rsidR="00B12C56" w:rsidRPr="00F461C2" w:rsidRDefault="00B12C56" w:rsidP="00B12C56">
      <w:pPr>
        <w:pStyle w:val="BodyText"/>
        <w:kinsoku w:val="0"/>
        <w:overflowPunct w:val="0"/>
        <w:ind w:left="0" w:firstLine="0"/>
        <w:rPr>
          <w:sz w:val="22"/>
          <w:szCs w:val="22"/>
        </w:rPr>
      </w:pPr>
    </w:p>
    <w:p w14:paraId="3D1C24B2" w14:textId="77777777" w:rsidR="00B12C56" w:rsidRPr="00F461C2" w:rsidRDefault="00B12C56" w:rsidP="00B12C56">
      <w:pPr>
        <w:pStyle w:val="BodyText"/>
        <w:kinsoku w:val="0"/>
        <w:overflowPunct w:val="0"/>
        <w:ind w:left="0" w:firstLine="0"/>
        <w:rPr>
          <w:b/>
          <w:bCs/>
          <w:spacing w:val="-1"/>
          <w:sz w:val="22"/>
          <w:szCs w:val="22"/>
        </w:rPr>
      </w:pPr>
      <w:r w:rsidRPr="00F461C2">
        <w:rPr>
          <w:b/>
          <w:sz w:val="22"/>
          <w:szCs w:val="22"/>
        </w:rPr>
        <w:t>SG07 Biodiversity and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4536"/>
        <w:gridCol w:w="5528"/>
      </w:tblGrid>
      <w:tr w:rsidR="00B12C56" w:rsidRPr="00F461C2" w14:paraId="3552CAEA" w14:textId="77777777" w:rsidTr="002A3EB4">
        <w:tc>
          <w:tcPr>
            <w:tcW w:w="1696" w:type="dxa"/>
            <w:shd w:val="clear" w:color="auto" w:fill="BFBFBF"/>
          </w:tcPr>
          <w:p w14:paraId="7BB890FC" w14:textId="77777777" w:rsidR="00B12C56" w:rsidRPr="00F461C2" w:rsidRDefault="00B12C56" w:rsidP="002A3EB4">
            <w:pPr>
              <w:rPr>
                <w:rFonts w:ascii="Arial" w:hAnsi="Arial" w:cs="Arial"/>
                <w:sz w:val="20"/>
                <w:szCs w:val="20"/>
              </w:rPr>
            </w:pPr>
            <w:r w:rsidRPr="00F461C2">
              <w:rPr>
                <w:rFonts w:ascii="Arial" w:hAnsi="Arial" w:cs="Arial"/>
                <w:sz w:val="20"/>
                <w:szCs w:val="20"/>
              </w:rPr>
              <w:t>Organisation</w:t>
            </w:r>
          </w:p>
        </w:tc>
        <w:tc>
          <w:tcPr>
            <w:tcW w:w="1843" w:type="dxa"/>
            <w:shd w:val="clear" w:color="auto" w:fill="BFBFBF"/>
          </w:tcPr>
          <w:p w14:paraId="729F08F5" w14:textId="77777777" w:rsidR="00B12C56" w:rsidRPr="00F461C2" w:rsidRDefault="00B12C56" w:rsidP="002A3EB4">
            <w:pPr>
              <w:rPr>
                <w:rFonts w:ascii="Arial" w:hAnsi="Arial" w:cs="Arial"/>
                <w:sz w:val="20"/>
                <w:szCs w:val="20"/>
              </w:rPr>
            </w:pPr>
            <w:r w:rsidRPr="00F461C2">
              <w:rPr>
                <w:rFonts w:ascii="Arial" w:hAnsi="Arial" w:cs="Arial"/>
                <w:sz w:val="20"/>
                <w:szCs w:val="20"/>
              </w:rPr>
              <w:t>Para/Section</w:t>
            </w:r>
          </w:p>
        </w:tc>
        <w:tc>
          <w:tcPr>
            <w:tcW w:w="4536" w:type="dxa"/>
            <w:shd w:val="clear" w:color="auto" w:fill="BFBFBF"/>
          </w:tcPr>
          <w:p w14:paraId="5A27911E" w14:textId="77777777" w:rsidR="00B12C56" w:rsidRPr="00F461C2" w:rsidRDefault="00B12C56" w:rsidP="002A3EB4">
            <w:pPr>
              <w:rPr>
                <w:rFonts w:ascii="Arial" w:hAnsi="Arial" w:cs="Arial"/>
                <w:sz w:val="20"/>
                <w:szCs w:val="20"/>
              </w:rPr>
            </w:pPr>
            <w:r w:rsidRPr="00F461C2">
              <w:rPr>
                <w:rFonts w:ascii="Arial" w:hAnsi="Arial" w:cs="Arial"/>
                <w:sz w:val="20"/>
                <w:szCs w:val="20"/>
              </w:rPr>
              <w:t>Comment</w:t>
            </w:r>
          </w:p>
        </w:tc>
        <w:tc>
          <w:tcPr>
            <w:tcW w:w="5528" w:type="dxa"/>
            <w:shd w:val="clear" w:color="auto" w:fill="BFBFBF"/>
          </w:tcPr>
          <w:p w14:paraId="3AF71E51" w14:textId="77777777" w:rsidR="00B12C56" w:rsidRPr="00F461C2" w:rsidRDefault="00B12C56" w:rsidP="002A3EB4">
            <w:pPr>
              <w:rPr>
                <w:rFonts w:ascii="Arial" w:hAnsi="Arial" w:cs="Arial"/>
                <w:sz w:val="20"/>
                <w:szCs w:val="20"/>
              </w:rPr>
            </w:pPr>
            <w:r w:rsidRPr="00F461C2">
              <w:rPr>
                <w:rFonts w:ascii="Arial" w:hAnsi="Arial" w:cs="Arial"/>
                <w:sz w:val="20"/>
                <w:szCs w:val="20"/>
              </w:rPr>
              <w:t>Response</w:t>
            </w:r>
          </w:p>
        </w:tc>
      </w:tr>
      <w:tr w:rsidR="00B12C56" w:rsidRPr="00F461C2" w14:paraId="658530D5" w14:textId="77777777" w:rsidTr="002A3EB4">
        <w:tc>
          <w:tcPr>
            <w:tcW w:w="1696" w:type="dxa"/>
            <w:shd w:val="clear" w:color="auto" w:fill="auto"/>
          </w:tcPr>
          <w:p w14:paraId="443F4368" w14:textId="77777777" w:rsidR="00B12C56" w:rsidRPr="00F461C2" w:rsidRDefault="00B12C56" w:rsidP="002A3EB4">
            <w:pPr>
              <w:rPr>
                <w:rFonts w:ascii="Arial" w:hAnsi="Arial" w:cs="Arial"/>
                <w:sz w:val="20"/>
                <w:szCs w:val="20"/>
              </w:rPr>
            </w:pPr>
            <w:r w:rsidRPr="00F461C2">
              <w:rPr>
                <w:rFonts w:ascii="Arial" w:hAnsi="Arial" w:cs="Arial"/>
                <w:sz w:val="20"/>
                <w:szCs w:val="20"/>
              </w:rPr>
              <w:t>Scottish Badgers</w:t>
            </w:r>
          </w:p>
          <w:p w14:paraId="4A09C2CC" w14:textId="77777777" w:rsidR="00B12C56" w:rsidRPr="00F461C2" w:rsidRDefault="00B12C56" w:rsidP="002A3EB4">
            <w:pPr>
              <w:rPr>
                <w:rFonts w:ascii="Arial" w:hAnsi="Arial" w:cs="Arial"/>
                <w:sz w:val="20"/>
                <w:szCs w:val="20"/>
              </w:rPr>
            </w:pPr>
          </w:p>
        </w:tc>
        <w:tc>
          <w:tcPr>
            <w:tcW w:w="1843" w:type="dxa"/>
            <w:shd w:val="clear" w:color="auto" w:fill="auto"/>
          </w:tcPr>
          <w:p w14:paraId="7382FA07" w14:textId="77777777" w:rsidR="00B12C56" w:rsidRPr="00F461C2" w:rsidRDefault="00B12C56" w:rsidP="002A3EB4">
            <w:pPr>
              <w:rPr>
                <w:rFonts w:ascii="Arial" w:hAnsi="Arial" w:cs="Arial"/>
                <w:sz w:val="20"/>
                <w:szCs w:val="20"/>
              </w:rPr>
            </w:pPr>
            <w:r w:rsidRPr="00F461C2">
              <w:rPr>
                <w:rFonts w:ascii="Arial" w:hAnsi="Arial" w:cs="Arial"/>
                <w:bCs/>
                <w:sz w:val="20"/>
                <w:szCs w:val="20"/>
              </w:rPr>
              <w:t xml:space="preserve">Para 4.23 </w:t>
            </w:r>
          </w:p>
          <w:p w14:paraId="02BECA4B" w14:textId="77777777" w:rsidR="00B12C56" w:rsidRPr="00F461C2" w:rsidRDefault="00B12C56" w:rsidP="002A3EB4">
            <w:pPr>
              <w:rPr>
                <w:rFonts w:ascii="Arial" w:hAnsi="Arial" w:cs="Arial"/>
                <w:sz w:val="20"/>
                <w:szCs w:val="20"/>
              </w:rPr>
            </w:pPr>
          </w:p>
        </w:tc>
        <w:tc>
          <w:tcPr>
            <w:tcW w:w="4536" w:type="dxa"/>
            <w:shd w:val="clear" w:color="auto" w:fill="auto"/>
          </w:tcPr>
          <w:p w14:paraId="6C635A83" w14:textId="77777777" w:rsidR="00B12C56" w:rsidRPr="00F461C2" w:rsidRDefault="00B12C56" w:rsidP="002A3EB4">
            <w:pPr>
              <w:rPr>
                <w:rFonts w:ascii="Arial" w:hAnsi="Arial" w:cs="Arial"/>
                <w:sz w:val="20"/>
                <w:szCs w:val="20"/>
              </w:rPr>
            </w:pPr>
            <w:r w:rsidRPr="00F461C2">
              <w:rPr>
                <w:rFonts w:ascii="Arial" w:hAnsi="Arial" w:cs="Arial"/>
                <w:bCs/>
                <w:sz w:val="20"/>
                <w:szCs w:val="20"/>
              </w:rPr>
              <w:t>S</w:t>
            </w:r>
            <w:r w:rsidRPr="00F461C2">
              <w:rPr>
                <w:rFonts w:ascii="Arial" w:hAnsi="Arial" w:cs="Arial"/>
                <w:sz w:val="20"/>
                <w:szCs w:val="20"/>
              </w:rPr>
              <w:t xml:space="preserve">ize of development should be factored in when creating new habitat, as it can lead to a higher number of recreational users. Greenspace created for wildlife is often used by new residents, leading to human/wildlife conflicts. Options are to plant native shrub species (blackthorn and hawthorn) to provide cover and a natural barrier in areas that may require it. </w:t>
            </w:r>
          </w:p>
        </w:tc>
        <w:tc>
          <w:tcPr>
            <w:tcW w:w="5528" w:type="dxa"/>
            <w:shd w:val="clear" w:color="auto" w:fill="auto"/>
          </w:tcPr>
          <w:p w14:paraId="3A94476F" w14:textId="77777777" w:rsidR="00B12C56" w:rsidRPr="00F461C2" w:rsidRDefault="00B12C56" w:rsidP="002A3EB4">
            <w:pPr>
              <w:rPr>
                <w:rFonts w:ascii="Arial" w:hAnsi="Arial" w:cs="Arial"/>
                <w:sz w:val="20"/>
                <w:szCs w:val="20"/>
              </w:rPr>
            </w:pPr>
            <w:r w:rsidRPr="00F461C2">
              <w:rPr>
                <w:rFonts w:ascii="Arial" w:hAnsi="Arial" w:cs="Arial"/>
                <w:sz w:val="20"/>
                <w:szCs w:val="20"/>
              </w:rPr>
              <w:t>Comment accepted. Include additional bullet point: ‘Creation of habitat as part of new development should where possible offer places of refuge for wildlife where conflict with recreational use can be minimised.’</w:t>
            </w:r>
          </w:p>
        </w:tc>
      </w:tr>
      <w:tr w:rsidR="00B12C56" w:rsidRPr="00F461C2" w14:paraId="7B898C82" w14:textId="77777777" w:rsidTr="002A3EB4">
        <w:tc>
          <w:tcPr>
            <w:tcW w:w="1696" w:type="dxa"/>
            <w:shd w:val="clear" w:color="auto" w:fill="auto"/>
          </w:tcPr>
          <w:p w14:paraId="41AF4E78" w14:textId="77777777" w:rsidR="00B12C56" w:rsidRPr="00F461C2" w:rsidRDefault="00B12C56" w:rsidP="002A3EB4">
            <w:pPr>
              <w:rPr>
                <w:rFonts w:ascii="Arial" w:hAnsi="Arial" w:cs="Arial"/>
                <w:sz w:val="20"/>
                <w:szCs w:val="20"/>
              </w:rPr>
            </w:pPr>
          </w:p>
        </w:tc>
        <w:tc>
          <w:tcPr>
            <w:tcW w:w="1843" w:type="dxa"/>
            <w:shd w:val="clear" w:color="auto" w:fill="auto"/>
          </w:tcPr>
          <w:p w14:paraId="7D622B6E" w14:textId="77777777" w:rsidR="00B12C56" w:rsidRPr="00F461C2" w:rsidRDefault="00B12C56" w:rsidP="002A3EB4">
            <w:pPr>
              <w:rPr>
                <w:rFonts w:ascii="Arial" w:hAnsi="Arial" w:cs="Arial"/>
                <w:sz w:val="20"/>
                <w:szCs w:val="20"/>
              </w:rPr>
            </w:pPr>
            <w:r w:rsidRPr="00F461C2">
              <w:rPr>
                <w:rFonts w:ascii="Arial" w:hAnsi="Arial" w:cs="Arial"/>
                <w:sz w:val="20"/>
                <w:szCs w:val="20"/>
              </w:rPr>
              <w:t>Website address</w:t>
            </w:r>
          </w:p>
        </w:tc>
        <w:tc>
          <w:tcPr>
            <w:tcW w:w="4536" w:type="dxa"/>
            <w:shd w:val="clear" w:color="auto" w:fill="auto"/>
          </w:tcPr>
          <w:p w14:paraId="3A2912FF" w14:textId="77777777" w:rsidR="00B12C56" w:rsidRPr="00F461C2" w:rsidRDefault="00B12C56" w:rsidP="002A3EB4">
            <w:pPr>
              <w:rPr>
                <w:rFonts w:ascii="Arial" w:hAnsi="Arial" w:cs="Arial"/>
                <w:sz w:val="20"/>
                <w:szCs w:val="20"/>
              </w:rPr>
            </w:pPr>
            <w:r w:rsidRPr="00F461C2">
              <w:rPr>
                <w:rFonts w:ascii="Arial" w:hAnsi="Arial" w:cs="Arial"/>
                <w:sz w:val="20"/>
                <w:szCs w:val="20"/>
              </w:rPr>
              <w:t>Drop http:// from prefix so in line with the other website addresses in the list.</w:t>
            </w:r>
          </w:p>
        </w:tc>
        <w:tc>
          <w:tcPr>
            <w:tcW w:w="5528" w:type="dxa"/>
            <w:shd w:val="clear" w:color="auto" w:fill="auto"/>
          </w:tcPr>
          <w:p w14:paraId="54CA9A2D"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Comment </w:t>
            </w:r>
            <w:proofErr w:type="gramStart"/>
            <w:r w:rsidRPr="00F461C2">
              <w:rPr>
                <w:rFonts w:ascii="Arial" w:hAnsi="Arial" w:cs="Arial"/>
                <w:sz w:val="20"/>
                <w:szCs w:val="20"/>
              </w:rPr>
              <w:t>accepted,</w:t>
            </w:r>
            <w:proofErr w:type="gramEnd"/>
            <w:r w:rsidRPr="00F461C2">
              <w:rPr>
                <w:rFonts w:ascii="Arial" w:hAnsi="Arial" w:cs="Arial"/>
                <w:sz w:val="20"/>
                <w:szCs w:val="20"/>
              </w:rPr>
              <w:t xml:space="preserve"> the prefix will be removed.</w:t>
            </w:r>
          </w:p>
        </w:tc>
      </w:tr>
      <w:tr w:rsidR="00B12C56" w:rsidRPr="00F461C2" w14:paraId="217A8DBF" w14:textId="77777777" w:rsidTr="002A3EB4">
        <w:tc>
          <w:tcPr>
            <w:tcW w:w="1696" w:type="dxa"/>
            <w:shd w:val="clear" w:color="auto" w:fill="auto"/>
          </w:tcPr>
          <w:p w14:paraId="66E04119" w14:textId="77777777" w:rsidR="00B12C56" w:rsidRPr="00F461C2" w:rsidRDefault="00B12C56" w:rsidP="002A3EB4">
            <w:pPr>
              <w:rPr>
                <w:rFonts w:ascii="Arial" w:hAnsi="Arial" w:cs="Arial"/>
                <w:sz w:val="20"/>
                <w:szCs w:val="20"/>
              </w:rPr>
            </w:pPr>
          </w:p>
        </w:tc>
        <w:tc>
          <w:tcPr>
            <w:tcW w:w="1843" w:type="dxa"/>
            <w:shd w:val="clear" w:color="auto" w:fill="auto"/>
          </w:tcPr>
          <w:p w14:paraId="442E4F3F" w14:textId="77777777" w:rsidR="00B12C56" w:rsidRPr="00F461C2" w:rsidRDefault="00B12C56" w:rsidP="002A3EB4">
            <w:pPr>
              <w:rPr>
                <w:rFonts w:ascii="Arial" w:hAnsi="Arial" w:cs="Arial"/>
                <w:sz w:val="20"/>
                <w:szCs w:val="20"/>
              </w:rPr>
            </w:pPr>
            <w:r w:rsidRPr="00F461C2">
              <w:rPr>
                <w:rFonts w:ascii="Arial" w:hAnsi="Arial" w:cs="Arial"/>
                <w:sz w:val="20"/>
                <w:szCs w:val="20"/>
              </w:rPr>
              <w:t>Refs to SNH</w:t>
            </w:r>
          </w:p>
        </w:tc>
        <w:tc>
          <w:tcPr>
            <w:tcW w:w="4536" w:type="dxa"/>
            <w:shd w:val="clear" w:color="auto" w:fill="auto"/>
          </w:tcPr>
          <w:p w14:paraId="3FA304B2" w14:textId="77777777" w:rsidR="00B12C56" w:rsidRPr="00F461C2" w:rsidRDefault="00B12C56" w:rsidP="002A3EB4">
            <w:pPr>
              <w:rPr>
                <w:rFonts w:ascii="Arial" w:hAnsi="Arial" w:cs="Arial"/>
                <w:sz w:val="20"/>
                <w:szCs w:val="20"/>
              </w:rPr>
            </w:pPr>
            <w:r w:rsidRPr="00F461C2">
              <w:rPr>
                <w:rFonts w:ascii="Arial" w:hAnsi="Arial" w:cs="Arial"/>
                <w:sz w:val="20"/>
                <w:szCs w:val="20"/>
              </w:rPr>
              <w:t>SNH are now Nature Scot</w:t>
            </w:r>
          </w:p>
        </w:tc>
        <w:tc>
          <w:tcPr>
            <w:tcW w:w="5528" w:type="dxa"/>
            <w:shd w:val="clear" w:color="auto" w:fill="auto"/>
          </w:tcPr>
          <w:p w14:paraId="6BF7EE36"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Comment </w:t>
            </w:r>
            <w:proofErr w:type="gramStart"/>
            <w:r w:rsidRPr="00F461C2">
              <w:rPr>
                <w:rFonts w:ascii="Arial" w:hAnsi="Arial" w:cs="Arial"/>
                <w:sz w:val="20"/>
                <w:szCs w:val="20"/>
              </w:rPr>
              <w:t>accepted,</w:t>
            </w:r>
            <w:proofErr w:type="gramEnd"/>
            <w:r w:rsidRPr="00F461C2">
              <w:rPr>
                <w:rFonts w:ascii="Arial" w:hAnsi="Arial" w:cs="Arial"/>
                <w:sz w:val="20"/>
                <w:szCs w:val="20"/>
              </w:rPr>
              <w:t xml:space="preserve"> all references will be corrected.</w:t>
            </w:r>
          </w:p>
        </w:tc>
      </w:tr>
      <w:tr w:rsidR="00B12C56" w:rsidRPr="00F461C2" w14:paraId="341BB808" w14:textId="77777777" w:rsidTr="002A3EB4">
        <w:tc>
          <w:tcPr>
            <w:tcW w:w="1696" w:type="dxa"/>
            <w:shd w:val="clear" w:color="auto" w:fill="auto"/>
          </w:tcPr>
          <w:p w14:paraId="759CA33D" w14:textId="77777777" w:rsidR="00B12C56" w:rsidRPr="00F461C2" w:rsidRDefault="00B12C56" w:rsidP="002A3EB4">
            <w:pPr>
              <w:rPr>
                <w:rFonts w:ascii="Arial" w:hAnsi="Arial" w:cs="Arial"/>
                <w:sz w:val="20"/>
                <w:szCs w:val="20"/>
              </w:rPr>
            </w:pPr>
            <w:r w:rsidRPr="00F461C2">
              <w:rPr>
                <w:rFonts w:ascii="Arial" w:hAnsi="Arial" w:cs="Arial"/>
                <w:sz w:val="20"/>
                <w:szCs w:val="20"/>
              </w:rPr>
              <w:t>Sandy Paterson</w:t>
            </w:r>
          </w:p>
        </w:tc>
        <w:tc>
          <w:tcPr>
            <w:tcW w:w="1843" w:type="dxa"/>
            <w:shd w:val="clear" w:color="auto" w:fill="auto"/>
          </w:tcPr>
          <w:p w14:paraId="152F469C" w14:textId="77777777" w:rsidR="00B12C56" w:rsidRPr="00F461C2" w:rsidRDefault="00B12C56" w:rsidP="002A3EB4">
            <w:pPr>
              <w:rPr>
                <w:rFonts w:ascii="Arial" w:hAnsi="Arial" w:cs="Arial"/>
                <w:sz w:val="20"/>
                <w:szCs w:val="20"/>
              </w:rPr>
            </w:pPr>
            <w:r w:rsidRPr="00F461C2">
              <w:rPr>
                <w:rFonts w:ascii="Arial" w:hAnsi="Arial" w:cs="Arial"/>
                <w:sz w:val="20"/>
                <w:szCs w:val="20"/>
              </w:rPr>
              <w:t>General</w:t>
            </w:r>
          </w:p>
        </w:tc>
        <w:tc>
          <w:tcPr>
            <w:tcW w:w="4536" w:type="dxa"/>
            <w:shd w:val="clear" w:color="auto" w:fill="auto"/>
          </w:tcPr>
          <w:p w14:paraId="51B4946E" w14:textId="77777777" w:rsidR="00B12C56" w:rsidRPr="00F461C2" w:rsidRDefault="00B12C56" w:rsidP="002A3EB4">
            <w:pPr>
              <w:spacing w:before="100" w:beforeAutospacing="1" w:after="100" w:afterAutospacing="1"/>
              <w:rPr>
                <w:rFonts w:ascii="Arial" w:hAnsi="Arial" w:cs="Arial"/>
                <w:sz w:val="20"/>
                <w:szCs w:val="20"/>
              </w:rPr>
            </w:pPr>
            <w:r w:rsidRPr="00F461C2">
              <w:rPr>
                <w:rFonts w:ascii="Arial" w:hAnsi="Arial" w:cs="Arial"/>
                <w:sz w:val="20"/>
                <w:szCs w:val="20"/>
              </w:rPr>
              <w:t xml:space="preserve">A section on roe deer management would be useful. There are traffic accidents arising from deer population, damage to gardens and people not going into the countryside because of the possibility of picking up a tic. </w:t>
            </w:r>
          </w:p>
        </w:tc>
        <w:tc>
          <w:tcPr>
            <w:tcW w:w="5528" w:type="dxa"/>
            <w:shd w:val="clear" w:color="auto" w:fill="auto"/>
          </w:tcPr>
          <w:p w14:paraId="17AF1DEC" w14:textId="77777777" w:rsidR="00B12C56" w:rsidRPr="00F461C2" w:rsidRDefault="00B12C56" w:rsidP="002A3EB4">
            <w:pPr>
              <w:rPr>
                <w:rFonts w:ascii="Arial" w:hAnsi="Arial" w:cs="Arial"/>
                <w:sz w:val="20"/>
                <w:szCs w:val="20"/>
              </w:rPr>
            </w:pPr>
            <w:r w:rsidRPr="00F461C2">
              <w:rPr>
                <w:rFonts w:ascii="Arial" w:hAnsi="Arial" w:cs="Arial"/>
                <w:sz w:val="20"/>
                <w:szCs w:val="20"/>
              </w:rPr>
              <w:t>Comment noted. While it is accepted that deer populations are causing problems in urban areas, such issues are beyond the scope of the SG. The focus of the SG is to help developers making a planning application to the council comply with biodiversity objectives.</w:t>
            </w:r>
          </w:p>
        </w:tc>
      </w:tr>
      <w:tr w:rsidR="00B12C56" w:rsidRPr="00F461C2" w14:paraId="3021B4FF" w14:textId="77777777" w:rsidTr="002A3EB4">
        <w:tc>
          <w:tcPr>
            <w:tcW w:w="1696" w:type="dxa"/>
            <w:shd w:val="clear" w:color="auto" w:fill="auto"/>
          </w:tcPr>
          <w:p w14:paraId="266FE7D2" w14:textId="77777777" w:rsidR="00B12C56" w:rsidRPr="00F461C2" w:rsidRDefault="00B12C56" w:rsidP="002A3EB4">
            <w:pPr>
              <w:rPr>
                <w:rFonts w:ascii="Arial" w:hAnsi="Arial" w:cs="Arial"/>
                <w:sz w:val="20"/>
                <w:szCs w:val="20"/>
              </w:rPr>
            </w:pPr>
          </w:p>
        </w:tc>
        <w:tc>
          <w:tcPr>
            <w:tcW w:w="1843" w:type="dxa"/>
            <w:shd w:val="clear" w:color="auto" w:fill="auto"/>
          </w:tcPr>
          <w:p w14:paraId="2E1D1FC2" w14:textId="77777777" w:rsidR="00B12C56" w:rsidRPr="00F461C2" w:rsidRDefault="00B12C56" w:rsidP="002A3EB4">
            <w:pPr>
              <w:rPr>
                <w:rFonts w:ascii="Arial" w:hAnsi="Arial" w:cs="Arial"/>
                <w:sz w:val="20"/>
                <w:szCs w:val="20"/>
              </w:rPr>
            </w:pPr>
            <w:r w:rsidRPr="00F461C2">
              <w:rPr>
                <w:rFonts w:ascii="Arial" w:hAnsi="Arial" w:cs="Arial"/>
                <w:sz w:val="20"/>
                <w:szCs w:val="20"/>
              </w:rPr>
              <w:t>General</w:t>
            </w:r>
          </w:p>
        </w:tc>
        <w:tc>
          <w:tcPr>
            <w:tcW w:w="4536" w:type="dxa"/>
            <w:shd w:val="clear" w:color="auto" w:fill="auto"/>
          </w:tcPr>
          <w:p w14:paraId="2E581F5B" w14:textId="77777777" w:rsidR="00B12C56" w:rsidRPr="00F461C2" w:rsidRDefault="00B12C56" w:rsidP="002A3EB4">
            <w:pPr>
              <w:rPr>
                <w:rFonts w:ascii="Arial" w:hAnsi="Arial" w:cs="Arial"/>
                <w:sz w:val="20"/>
                <w:szCs w:val="20"/>
              </w:rPr>
            </w:pPr>
            <w:r w:rsidRPr="00F461C2">
              <w:rPr>
                <w:rFonts w:ascii="Arial" w:hAnsi="Arial" w:cs="Arial"/>
                <w:sz w:val="20"/>
                <w:szCs w:val="20"/>
              </w:rPr>
              <w:t>SG could address the issue of canal birds, becoming entangled in abandoned fishing line, which is becoming more common and can be distressing for</w:t>
            </w:r>
            <w:r w:rsidRPr="00F461C2">
              <w:rPr>
                <w:rStyle w:val="gmaildefault"/>
                <w:rFonts w:ascii="Arial" w:hAnsi="Arial" w:cs="Arial"/>
                <w:sz w:val="20"/>
                <w:szCs w:val="20"/>
              </w:rPr>
              <w:t xml:space="preserve"> the bird and observer.</w:t>
            </w:r>
          </w:p>
        </w:tc>
        <w:tc>
          <w:tcPr>
            <w:tcW w:w="5528" w:type="dxa"/>
            <w:shd w:val="clear" w:color="auto" w:fill="auto"/>
          </w:tcPr>
          <w:p w14:paraId="05B7C3A6" w14:textId="77777777" w:rsidR="00B12C56" w:rsidRPr="00F461C2" w:rsidRDefault="00B12C56" w:rsidP="002A3EB4">
            <w:pPr>
              <w:rPr>
                <w:rFonts w:ascii="Arial" w:hAnsi="Arial" w:cs="Arial"/>
                <w:sz w:val="20"/>
                <w:szCs w:val="20"/>
              </w:rPr>
            </w:pPr>
            <w:r w:rsidRPr="00F461C2">
              <w:rPr>
                <w:rFonts w:ascii="Arial" w:hAnsi="Arial" w:cs="Arial"/>
                <w:sz w:val="20"/>
                <w:szCs w:val="20"/>
              </w:rPr>
              <w:t>Comment noted.</w:t>
            </w:r>
          </w:p>
          <w:p w14:paraId="75D965C2" w14:textId="77777777" w:rsidR="00B12C56" w:rsidRPr="00F461C2" w:rsidRDefault="00B12C56" w:rsidP="002A3EB4">
            <w:pPr>
              <w:rPr>
                <w:rFonts w:ascii="Arial" w:hAnsi="Arial" w:cs="Arial"/>
                <w:sz w:val="20"/>
                <w:szCs w:val="20"/>
              </w:rPr>
            </w:pPr>
            <w:r w:rsidRPr="00F461C2">
              <w:rPr>
                <w:rFonts w:ascii="Arial" w:hAnsi="Arial" w:cs="Arial"/>
                <w:sz w:val="20"/>
                <w:szCs w:val="20"/>
              </w:rPr>
              <w:t>However, this issue is beyond the scope of the SG.</w:t>
            </w:r>
          </w:p>
        </w:tc>
      </w:tr>
      <w:tr w:rsidR="00B12C56" w:rsidRPr="00F461C2" w14:paraId="2C05A8DF" w14:textId="77777777" w:rsidTr="002A3EB4">
        <w:tc>
          <w:tcPr>
            <w:tcW w:w="1696" w:type="dxa"/>
            <w:shd w:val="clear" w:color="auto" w:fill="auto"/>
          </w:tcPr>
          <w:p w14:paraId="1829554F" w14:textId="77777777" w:rsidR="00B12C56" w:rsidRPr="00F461C2" w:rsidRDefault="00B12C56" w:rsidP="002A3EB4">
            <w:pPr>
              <w:rPr>
                <w:rFonts w:ascii="Arial" w:hAnsi="Arial" w:cs="Arial"/>
                <w:sz w:val="20"/>
                <w:szCs w:val="20"/>
              </w:rPr>
            </w:pPr>
          </w:p>
        </w:tc>
        <w:tc>
          <w:tcPr>
            <w:tcW w:w="1843" w:type="dxa"/>
            <w:shd w:val="clear" w:color="auto" w:fill="auto"/>
          </w:tcPr>
          <w:p w14:paraId="04BA73CC" w14:textId="77777777" w:rsidR="00B12C56" w:rsidRPr="00F461C2" w:rsidRDefault="00B12C56" w:rsidP="002A3EB4">
            <w:pPr>
              <w:rPr>
                <w:rFonts w:ascii="Arial" w:hAnsi="Arial" w:cs="Arial"/>
                <w:sz w:val="20"/>
                <w:szCs w:val="20"/>
              </w:rPr>
            </w:pPr>
            <w:r w:rsidRPr="00F461C2">
              <w:rPr>
                <w:rFonts w:ascii="Arial" w:hAnsi="Arial" w:cs="Arial"/>
                <w:sz w:val="20"/>
                <w:szCs w:val="20"/>
              </w:rPr>
              <w:t>General</w:t>
            </w:r>
          </w:p>
        </w:tc>
        <w:tc>
          <w:tcPr>
            <w:tcW w:w="4536" w:type="dxa"/>
            <w:shd w:val="clear" w:color="auto" w:fill="auto"/>
          </w:tcPr>
          <w:p w14:paraId="7FF90025" w14:textId="77777777" w:rsidR="00B12C56" w:rsidRPr="00F461C2" w:rsidRDefault="00B12C56" w:rsidP="002A3EB4">
            <w:pPr>
              <w:rPr>
                <w:rFonts w:ascii="Arial" w:hAnsi="Arial" w:cs="Arial"/>
                <w:sz w:val="20"/>
                <w:szCs w:val="20"/>
              </w:rPr>
            </w:pPr>
            <w:r w:rsidRPr="00F461C2">
              <w:rPr>
                <w:rStyle w:val="gmaildefault"/>
                <w:rFonts w:ascii="Arial" w:hAnsi="Arial" w:cs="Arial"/>
                <w:sz w:val="20"/>
                <w:szCs w:val="20"/>
              </w:rPr>
              <w:t>SG is riddled with acronyms which should be expanded to their full status.</w:t>
            </w:r>
          </w:p>
        </w:tc>
        <w:tc>
          <w:tcPr>
            <w:tcW w:w="5528" w:type="dxa"/>
            <w:shd w:val="clear" w:color="auto" w:fill="auto"/>
          </w:tcPr>
          <w:p w14:paraId="0E877DA3" w14:textId="77777777" w:rsidR="00B12C56" w:rsidRPr="00F461C2" w:rsidRDefault="00B12C56" w:rsidP="002A3EB4">
            <w:pPr>
              <w:rPr>
                <w:rFonts w:ascii="Arial" w:hAnsi="Arial" w:cs="Arial"/>
                <w:sz w:val="20"/>
                <w:szCs w:val="20"/>
              </w:rPr>
            </w:pPr>
            <w:r w:rsidRPr="00F461C2">
              <w:rPr>
                <w:rFonts w:ascii="Arial" w:hAnsi="Arial" w:cs="Arial"/>
                <w:sz w:val="20"/>
                <w:szCs w:val="20"/>
              </w:rPr>
              <w:t>Comment partially accepted. The glossary will be expanded to ensure that all the commonly used acronyms are explained</w:t>
            </w:r>
          </w:p>
          <w:p w14:paraId="7EEB82CB" w14:textId="77777777" w:rsidR="00B12C56" w:rsidRPr="00F461C2" w:rsidRDefault="00B12C56" w:rsidP="002A3EB4">
            <w:pPr>
              <w:rPr>
                <w:rFonts w:ascii="Arial" w:hAnsi="Arial" w:cs="Arial"/>
                <w:sz w:val="20"/>
                <w:szCs w:val="20"/>
              </w:rPr>
            </w:pPr>
          </w:p>
        </w:tc>
      </w:tr>
      <w:tr w:rsidR="00B12C56" w:rsidRPr="00F461C2" w14:paraId="5D34DB3D" w14:textId="77777777" w:rsidTr="002A3EB4">
        <w:tc>
          <w:tcPr>
            <w:tcW w:w="1696" w:type="dxa"/>
            <w:shd w:val="clear" w:color="auto" w:fill="auto"/>
          </w:tcPr>
          <w:p w14:paraId="702C480D" w14:textId="77777777" w:rsidR="00B12C56" w:rsidRPr="00F461C2" w:rsidRDefault="00B12C56" w:rsidP="002A3EB4">
            <w:pPr>
              <w:rPr>
                <w:rFonts w:ascii="Arial" w:hAnsi="Arial" w:cs="Arial"/>
                <w:sz w:val="20"/>
                <w:szCs w:val="20"/>
              </w:rPr>
            </w:pPr>
            <w:r w:rsidRPr="00F461C2">
              <w:rPr>
                <w:rFonts w:ascii="Arial" w:hAnsi="Arial" w:cs="Arial"/>
                <w:sz w:val="20"/>
                <w:szCs w:val="20"/>
              </w:rPr>
              <w:t>Scottish Government</w:t>
            </w:r>
          </w:p>
        </w:tc>
        <w:tc>
          <w:tcPr>
            <w:tcW w:w="1843" w:type="dxa"/>
            <w:shd w:val="clear" w:color="auto" w:fill="auto"/>
          </w:tcPr>
          <w:p w14:paraId="6DD52124" w14:textId="77777777" w:rsidR="00B12C56" w:rsidRPr="00F461C2" w:rsidRDefault="00B12C56" w:rsidP="002A3EB4">
            <w:pPr>
              <w:rPr>
                <w:rFonts w:ascii="Arial" w:hAnsi="Arial" w:cs="Arial"/>
                <w:sz w:val="20"/>
                <w:szCs w:val="20"/>
              </w:rPr>
            </w:pPr>
            <w:r w:rsidRPr="00F461C2">
              <w:rPr>
                <w:rFonts w:ascii="Arial" w:hAnsi="Arial" w:cs="Arial"/>
                <w:sz w:val="20"/>
                <w:szCs w:val="20"/>
              </w:rPr>
              <w:t>Para 2.5</w:t>
            </w:r>
          </w:p>
        </w:tc>
        <w:tc>
          <w:tcPr>
            <w:tcW w:w="4536" w:type="dxa"/>
            <w:shd w:val="clear" w:color="auto" w:fill="auto"/>
          </w:tcPr>
          <w:p w14:paraId="24655D30"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Suggest removing the sentence </w:t>
            </w:r>
            <w:r w:rsidRPr="00F461C2">
              <w:rPr>
                <w:rFonts w:ascii="Arial" w:hAnsi="Arial" w:cs="Arial"/>
                <w:i/>
                <w:iCs/>
                <w:sz w:val="20"/>
                <w:szCs w:val="20"/>
              </w:rPr>
              <w:t>‘It looks likely that the Scottish Government will require at least larger infrastructure developments to apply the approach in the near future too</w:t>
            </w:r>
            <w:r w:rsidRPr="00F461C2">
              <w:rPr>
                <w:rFonts w:ascii="Arial" w:hAnsi="Arial" w:cs="Arial"/>
                <w:sz w:val="20"/>
                <w:szCs w:val="20"/>
              </w:rPr>
              <w:t>’.</w:t>
            </w:r>
          </w:p>
          <w:p w14:paraId="5FB4BEB2" w14:textId="77777777" w:rsidR="00B12C56" w:rsidRPr="00F461C2" w:rsidRDefault="00B12C56" w:rsidP="002A3EB4">
            <w:pPr>
              <w:rPr>
                <w:rFonts w:ascii="Arial" w:hAnsi="Arial" w:cs="Arial"/>
                <w:sz w:val="20"/>
                <w:szCs w:val="20"/>
              </w:rPr>
            </w:pPr>
          </w:p>
          <w:p w14:paraId="34049EB6" w14:textId="77777777" w:rsidR="00B12C56" w:rsidRPr="00F461C2" w:rsidRDefault="00B12C56" w:rsidP="002A3EB4">
            <w:pPr>
              <w:rPr>
                <w:rFonts w:ascii="Arial" w:hAnsi="Arial" w:cs="Arial"/>
                <w:sz w:val="20"/>
                <w:szCs w:val="20"/>
              </w:rPr>
            </w:pPr>
            <w:r w:rsidRPr="00F461C2">
              <w:rPr>
                <w:rFonts w:ascii="Arial" w:hAnsi="Arial" w:cs="Arial"/>
                <w:sz w:val="20"/>
                <w:szCs w:val="20"/>
              </w:rPr>
              <w:lastRenderedPageBreak/>
              <w:t>NPF 4 is not yet developed. Current policy sets out that the planning system should seek benefits for biodiversity for new development where possible.</w:t>
            </w:r>
          </w:p>
          <w:p w14:paraId="3049831C" w14:textId="77777777" w:rsidR="00B12C56" w:rsidRPr="00F461C2" w:rsidRDefault="00B12C56" w:rsidP="002A3EB4">
            <w:pPr>
              <w:rPr>
                <w:rFonts w:ascii="Arial" w:hAnsi="Arial" w:cs="Arial"/>
                <w:sz w:val="20"/>
                <w:szCs w:val="20"/>
              </w:rPr>
            </w:pPr>
          </w:p>
          <w:p w14:paraId="0F379E98" w14:textId="77777777" w:rsidR="00B12C56" w:rsidRPr="00F461C2" w:rsidRDefault="00B12C56" w:rsidP="002A3EB4">
            <w:pPr>
              <w:rPr>
                <w:rFonts w:ascii="Arial" w:hAnsi="Arial" w:cs="Arial"/>
                <w:sz w:val="20"/>
                <w:szCs w:val="20"/>
              </w:rPr>
            </w:pPr>
            <w:r w:rsidRPr="00F461C2">
              <w:rPr>
                <w:rFonts w:ascii="Arial" w:hAnsi="Arial" w:cs="Arial"/>
                <w:sz w:val="20"/>
                <w:szCs w:val="20"/>
              </w:rPr>
              <w:t>NPF4 is being developed, with a final version anticipated in spring/summer 2022.</w:t>
            </w:r>
          </w:p>
          <w:p w14:paraId="63CBE364" w14:textId="77777777" w:rsidR="00B12C56" w:rsidRPr="00F461C2" w:rsidRDefault="00B12C56" w:rsidP="002A3EB4">
            <w:pPr>
              <w:rPr>
                <w:rFonts w:ascii="Arial" w:hAnsi="Arial" w:cs="Arial"/>
                <w:sz w:val="20"/>
                <w:szCs w:val="20"/>
              </w:rPr>
            </w:pPr>
            <w:r w:rsidRPr="00F461C2">
              <w:rPr>
                <w:rFonts w:ascii="Arial" w:hAnsi="Arial" w:cs="Arial"/>
                <w:sz w:val="20"/>
                <w:szCs w:val="20"/>
              </w:rPr>
              <w:t>The Planning (Scotland) Act 2019 sets out that securing positive effects for biodiversity will be one of six key outcomes of future iterations of NPF.</w:t>
            </w:r>
          </w:p>
          <w:p w14:paraId="1FDF59AF" w14:textId="77777777" w:rsidR="00B12C56" w:rsidRPr="00F461C2" w:rsidRDefault="00B12C56" w:rsidP="002A3EB4">
            <w:pPr>
              <w:rPr>
                <w:rFonts w:ascii="Arial" w:hAnsi="Arial" w:cs="Arial"/>
                <w:sz w:val="20"/>
                <w:szCs w:val="20"/>
              </w:rPr>
            </w:pPr>
          </w:p>
        </w:tc>
        <w:tc>
          <w:tcPr>
            <w:tcW w:w="5528" w:type="dxa"/>
            <w:shd w:val="clear" w:color="auto" w:fill="auto"/>
          </w:tcPr>
          <w:p w14:paraId="568046B2" w14:textId="77777777" w:rsidR="00B12C56" w:rsidRPr="00F461C2" w:rsidRDefault="00B12C56" w:rsidP="002A3EB4">
            <w:pPr>
              <w:rPr>
                <w:rFonts w:ascii="Arial" w:hAnsi="Arial" w:cs="Arial"/>
                <w:sz w:val="20"/>
                <w:szCs w:val="20"/>
              </w:rPr>
            </w:pPr>
            <w:r w:rsidRPr="00F461C2">
              <w:rPr>
                <w:rFonts w:ascii="Arial" w:hAnsi="Arial" w:cs="Arial"/>
                <w:sz w:val="20"/>
                <w:szCs w:val="20"/>
              </w:rPr>
              <w:lastRenderedPageBreak/>
              <w:t xml:space="preserve">Comment accepted. It is premature to speculate on the approach which may be adopted in NFF4. Delete as suggested and replace the last </w:t>
            </w:r>
            <w:proofErr w:type="gramStart"/>
            <w:r w:rsidRPr="00F461C2">
              <w:rPr>
                <w:rFonts w:ascii="Arial" w:hAnsi="Arial" w:cs="Arial"/>
                <w:sz w:val="20"/>
                <w:szCs w:val="20"/>
              </w:rPr>
              <w:t>sentence  in</w:t>
            </w:r>
            <w:proofErr w:type="gramEnd"/>
            <w:r w:rsidRPr="00F461C2">
              <w:rPr>
                <w:rFonts w:ascii="Arial" w:hAnsi="Arial" w:cs="Arial"/>
                <w:sz w:val="20"/>
                <w:szCs w:val="20"/>
              </w:rPr>
              <w:t xml:space="preserve"> para 2.5 with:</w:t>
            </w:r>
          </w:p>
          <w:p w14:paraId="1224F661" w14:textId="77777777" w:rsidR="00B12C56" w:rsidRPr="00F461C2" w:rsidRDefault="00B12C56" w:rsidP="002A3EB4">
            <w:pPr>
              <w:rPr>
                <w:rFonts w:ascii="Arial" w:hAnsi="Arial" w:cs="Arial"/>
                <w:sz w:val="20"/>
                <w:szCs w:val="20"/>
              </w:rPr>
            </w:pPr>
          </w:p>
          <w:p w14:paraId="2F0CA74E" w14:textId="77777777" w:rsidR="00B12C56" w:rsidRPr="00F461C2" w:rsidRDefault="00B12C56" w:rsidP="002A3EB4">
            <w:pPr>
              <w:rPr>
                <w:rFonts w:ascii="Arial" w:hAnsi="Arial" w:cs="Arial"/>
                <w:sz w:val="20"/>
                <w:szCs w:val="20"/>
              </w:rPr>
            </w:pPr>
            <w:r w:rsidRPr="00F461C2">
              <w:rPr>
                <w:rFonts w:ascii="Arial" w:hAnsi="Arial" w:cs="Arial"/>
                <w:sz w:val="20"/>
                <w:szCs w:val="20"/>
              </w:rPr>
              <w:lastRenderedPageBreak/>
              <w:t>‘Although not mandatory in Scotland in Scotland, developers are encouraged to apply this principle’.</w:t>
            </w:r>
          </w:p>
          <w:p w14:paraId="137B1A6E" w14:textId="77777777" w:rsidR="00B12C56" w:rsidRPr="00F461C2" w:rsidRDefault="00B12C56" w:rsidP="002A3EB4">
            <w:pPr>
              <w:rPr>
                <w:rFonts w:ascii="Arial" w:hAnsi="Arial" w:cs="Arial"/>
                <w:sz w:val="20"/>
                <w:szCs w:val="20"/>
              </w:rPr>
            </w:pPr>
          </w:p>
          <w:p w14:paraId="74B19F30" w14:textId="77777777" w:rsidR="00B12C56" w:rsidRPr="00F461C2" w:rsidRDefault="00B12C56" w:rsidP="002A3EB4">
            <w:pPr>
              <w:rPr>
                <w:rFonts w:ascii="Arial" w:hAnsi="Arial" w:cs="Arial"/>
                <w:sz w:val="20"/>
                <w:szCs w:val="20"/>
              </w:rPr>
            </w:pPr>
            <w:r w:rsidRPr="00F461C2">
              <w:rPr>
                <w:rFonts w:ascii="Arial" w:hAnsi="Arial" w:cs="Arial"/>
                <w:sz w:val="20"/>
                <w:szCs w:val="20"/>
              </w:rPr>
              <w:t>Note that there are two para 2.5s on page 4. Amend accordingly.</w:t>
            </w:r>
          </w:p>
        </w:tc>
      </w:tr>
      <w:tr w:rsidR="00B12C56" w:rsidRPr="00F461C2" w14:paraId="1718478D" w14:textId="77777777" w:rsidTr="002A3EB4">
        <w:tc>
          <w:tcPr>
            <w:tcW w:w="1696" w:type="dxa"/>
            <w:shd w:val="clear" w:color="auto" w:fill="auto"/>
          </w:tcPr>
          <w:p w14:paraId="4FCB9517" w14:textId="77777777" w:rsidR="00B12C56" w:rsidRPr="00F461C2" w:rsidRDefault="00B12C56" w:rsidP="002A3EB4">
            <w:pPr>
              <w:rPr>
                <w:rFonts w:ascii="Arial" w:hAnsi="Arial" w:cs="Arial"/>
                <w:sz w:val="20"/>
                <w:szCs w:val="20"/>
              </w:rPr>
            </w:pPr>
            <w:r w:rsidRPr="00F461C2">
              <w:rPr>
                <w:rFonts w:ascii="Arial" w:hAnsi="Arial" w:cs="Arial"/>
                <w:sz w:val="20"/>
                <w:szCs w:val="20"/>
              </w:rPr>
              <w:lastRenderedPageBreak/>
              <w:t>NatureScot</w:t>
            </w:r>
          </w:p>
        </w:tc>
        <w:tc>
          <w:tcPr>
            <w:tcW w:w="1843" w:type="dxa"/>
            <w:shd w:val="clear" w:color="auto" w:fill="auto"/>
          </w:tcPr>
          <w:p w14:paraId="50237CB4" w14:textId="77777777" w:rsidR="00B12C56" w:rsidRPr="00F461C2" w:rsidRDefault="00B12C56" w:rsidP="002A3EB4">
            <w:pPr>
              <w:rPr>
                <w:rFonts w:ascii="Arial" w:hAnsi="Arial" w:cs="Arial"/>
                <w:sz w:val="20"/>
                <w:szCs w:val="20"/>
              </w:rPr>
            </w:pPr>
            <w:r w:rsidRPr="00F461C2">
              <w:rPr>
                <w:rFonts w:ascii="Arial" w:hAnsi="Arial" w:cs="Arial"/>
                <w:sz w:val="20"/>
                <w:szCs w:val="20"/>
              </w:rPr>
              <w:t>General</w:t>
            </w:r>
          </w:p>
        </w:tc>
        <w:tc>
          <w:tcPr>
            <w:tcW w:w="4536" w:type="dxa"/>
            <w:shd w:val="clear" w:color="auto" w:fill="auto"/>
          </w:tcPr>
          <w:p w14:paraId="7C73EE10" w14:textId="77777777" w:rsidR="00B12C56" w:rsidRPr="00F461C2" w:rsidRDefault="00B12C56" w:rsidP="002A3EB4">
            <w:pPr>
              <w:pStyle w:val="Default"/>
              <w:rPr>
                <w:sz w:val="20"/>
                <w:szCs w:val="20"/>
              </w:rPr>
            </w:pPr>
            <w:r w:rsidRPr="00F461C2">
              <w:rPr>
                <w:sz w:val="20"/>
                <w:szCs w:val="20"/>
              </w:rPr>
              <w:t xml:space="preserve">Good, clear SG that provides useful advice which should lead to improved outcomes for biodiversity in Falkirk. </w:t>
            </w:r>
          </w:p>
        </w:tc>
        <w:tc>
          <w:tcPr>
            <w:tcW w:w="5528" w:type="dxa"/>
            <w:shd w:val="clear" w:color="auto" w:fill="auto"/>
          </w:tcPr>
          <w:p w14:paraId="0680D281" w14:textId="77777777" w:rsidR="00B12C56" w:rsidRPr="00F461C2" w:rsidRDefault="00B12C56" w:rsidP="002A3EB4">
            <w:pPr>
              <w:rPr>
                <w:rFonts w:ascii="Arial" w:hAnsi="Arial" w:cs="Arial"/>
                <w:sz w:val="20"/>
                <w:szCs w:val="20"/>
              </w:rPr>
            </w:pPr>
            <w:r w:rsidRPr="00F461C2">
              <w:rPr>
                <w:rFonts w:ascii="Arial" w:hAnsi="Arial" w:cs="Arial"/>
                <w:sz w:val="20"/>
                <w:szCs w:val="20"/>
              </w:rPr>
              <w:t>Comment noted.</w:t>
            </w:r>
          </w:p>
        </w:tc>
      </w:tr>
      <w:tr w:rsidR="00B12C56" w:rsidRPr="00F461C2" w14:paraId="0FA0AC81" w14:textId="77777777" w:rsidTr="002A3EB4">
        <w:tc>
          <w:tcPr>
            <w:tcW w:w="1696" w:type="dxa"/>
            <w:shd w:val="clear" w:color="auto" w:fill="auto"/>
          </w:tcPr>
          <w:p w14:paraId="197DB7E7" w14:textId="77777777" w:rsidR="00B12C56" w:rsidRPr="00F461C2" w:rsidRDefault="00B12C56" w:rsidP="002A3EB4">
            <w:pPr>
              <w:rPr>
                <w:rFonts w:ascii="Arial" w:hAnsi="Arial" w:cs="Arial"/>
                <w:sz w:val="20"/>
                <w:szCs w:val="20"/>
              </w:rPr>
            </w:pPr>
          </w:p>
        </w:tc>
        <w:tc>
          <w:tcPr>
            <w:tcW w:w="1843" w:type="dxa"/>
            <w:shd w:val="clear" w:color="auto" w:fill="auto"/>
          </w:tcPr>
          <w:p w14:paraId="0704DDEE" w14:textId="77777777" w:rsidR="00B12C56" w:rsidRPr="00F461C2" w:rsidRDefault="00B12C56" w:rsidP="002A3EB4">
            <w:pPr>
              <w:rPr>
                <w:rFonts w:ascii="Arial" w:hAnsi="Arial" w:cs="Arial"/>
                <w:sz w:val="20"/>
                <w:szCs w:val="20"/>
              </w:rPr>
            </w:pPr>
            <w:r w:rsidRPr="00F461C2">
              <w:rPr>
                <w:rFonts w:ascii="Arial" w:hAnsi="Arial" w:cs="Arial"/>
                <w:sz w:val="20"/>
                <w:szCs w:val="20"/>
              </w:rPr>
              <w:t>Para 2.2</w:t>
            </w:r>
          </w:p>
        </w:tc>
        <w:tc>
          <w:tcPr>
            <w:tcW w:w="4536" w:type="dxa"/>
            <w:shd w:val="clear" w:color="auto" w:fill="auto"/>
          </w:tcPr>
          <w:p w14:paraId="60C2B219" w14:textId="77777777" w:rsidR="00B12C56" w:rsidRPr="00F461C2" w:rsidRDefault="00B12C56" w:rsidP="002A3EB4">
            <w:pPr>
              <w:rPr>
                <w:rFonts w:ascii="Arial" w:hAnsi="Arial" w:cs="Arial"/>
                <w:sz w:val="20"/>
                <w:szCs w:val="20"/>
              </w:rPr>
            </w:pPr>
            <w:r w:rsidRPr="00F461C2">
              <w:rPr>
                <w:rFonts w:ascii="Arial" w:hAnsi="Arial" w:cs="Arial"/>
                <w:sz w:val="20"/>
                <w:szCs w:val="20"/>
              </w:rPr>
              <w:t>Remove reference to the ‘Habitats Directive’ and ‘Birds Directive’ in the table. The Directives do not apply now that the UK has left the EU. Protection for European sites is maintained by domestic legislation / Habitats Regulations.</w:t>
            </w:r>
          </w:p>
        </w:tc>
        <w:tc>
          <w:tcPr>
            <w:tcW w:w="5528" w:type="dxa"/>
            <w:shd w:val="clear" w:color="auto" w:fill="auto"/>
          </w:tcPr>
          <w:p w14:paraId="28376397"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Comment accepted. Delete ‘Habitats Directive’ and ‘Birds Directive’ from </w:t>
            </w:r>
            <w:r w:rsidRPr="00F461C2">
              <w:rPr>
                <w:rStyle w:val="A3"/>
                <w:rFonts w:ascii="Arial" w:hAnsi="Arial" w:cs="Arial"/>
                <w:sz w:val="20"/>
                <w:szCs w:val="20"/>
              </w:rPr>
              <w:t>Key Legislation and Guidance column in the table in para 2.2.</w:t>
            </w:r>
          </w:p>
          <w:p w14:paraId="6FF47104" w14:textId="77777777" w:rsidR="00B12C56" w:rsidRPr="00F461C2" w:rsidRDefault="00B12C56" w:rsidP="002A3EB4">
            <w:pPr>
              <w:rPr>
                <w:rFonts w:ascii="Arial" w:hAnsi="Arial" w:cs="Arial"/>
                <w:sz w:val="20"/>
                <w:szCs w:val="20"/>
              </w:rPr>
            </w:pPr>
          </w:p>
        </w:tc>
      </w:tr>
      <w:tr w:rsidR="00B12C56" w:rsidRPr="00F461C2" w14:paraId="160F8AE7" w14:textId="77777777" w:rsidTr="002A3EB4">
        <w:tc>
          <w:tcPr>
            <w:tcW w:w="1696" w:type="dxa"/>
            <w:shd w:val="clear" w:color="auto" w:fill="auto"/>
          </w:tcPr>
          <w:p w14:paraId="220682B1" w14:textId="77777777" w:rsidR="00B12C56" w:rsidRPr="00F461C2" w:rsidRDefault="00B12C56" w:rsidP="002A3EB4">
            <w:pPr>
              <w:rPr>
                <w:rFonts w:ascii="Arial" w:hAnsi="Arial" w:cs="Arial"/>
                <w:sz w:val="20"/>
                <w:szCs w:val="20"/>
              </w:rPr>
            </w:pPr>
          </w:p>
        </w:tc>
        <w:tc>
          <w:tcPr>
            <w:tcW w:w="1843" w:type="dxa"/>
            <w:shd w:val="clear" w:color="auto" w:fill="auto"/>
          </w:tcPr>
          <w:p w14:paraId="6ED0921F" w14:textId="77777777" w:rsidR="00B12C56" w:rsidRPr="00F461C2" w:rsidRDefault="00B12C56" w:rsidP="002A3EB4">
            <w:pPr>
              <w:rPr>
                <w:rFonts w:ascii="Arial" w:hAnsi="Arial" w:cs="Arial"/>
                <w:sz w:val="20"/>
                <w:szCs w:val="20"/>
              </w:rPr>
            </w:pPr>
            <w:r w:rsidRPr="00F461C2">
              <w:rPr>
                <w:rFonts w:ascii="Arial" w:hAnsi="Arial" w:cs="Arial"/>
                <w:sz w:val="20"/>
                <w:szCs w:val="20"/>
              </w:rPr>
              <w:t>Sections 4 &amp; 5 Appendix 1</w:t>
            </w:r>
          </w:p>
          <w:p w14:paraId="52829696" w14:textId="77777777" w:rsidR="00B12C56" w:rsidRPr="00F461C2" w:rsidRDefault="00B12C56" w:rsidP="002A3EB4">
            <w:pPr>
              <w:rPr>
                <w:rFonts w:ascii="Arial" w:hAnsi="Arial" w:cs="Arial"/>
                <w:sz w:val="20"/>
                <w:szCs w:val="20"/>
              </w:rPr>
            </w:pPr>
            <w:r w:rsidRPr="00F461C2">
              <w:rPr>
                <w:rFonts w:ascii="Arial" w:hAnsi="Arial" w:cs="Arial"/>
                <w:sz w:val="20"/>
                <w:szCs w:val="20"/>
              </w:rPr>
              <w:t>Para 6.1</w:t>
            </w:r>
          </w:p>
        </w:tc>
        <w:tc>
          <w:tcPr>
            <w:tcW w:w="4536" w:type="dxa"/>
            <w:shd w:val="clear" w:color="auto" w:fill="auto"/>
          </w:tcPr>
          <w:p w14:paraId="76D7E4E9"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Section 4 provides a clear overview of what is required to ensure biodiversity is included in the planning process. Step 3 includes an undertaking to consult with relevant bodies such as NatureScot. Recommend this is amended as it may lead to consultations out with the scope of the service. General reference should be </w:t>
            </w:r>
            <w:proofErr w:type="gramStart"/>
            <w:r w:rsidRPr="00F461C2">
              <w:rPr>
                <w:rFonts w:ascii="Arial" w:hAnsi="Arial" w:cs="Arial"/>
                <w:sz w:val="20"/>
                <w:szCs w:val="20"/>
              </w:rPr>
              <w:t>removed, and</w:t>
            </w:r>
            <w:proofErr w:type="gramEnd"/>
            <w:r w:rsidRPr="00F461C2">
              <w:rPr>
                <w:rFonts w:ascii="Arial" w:hAnsi="Arial" w:cs="Arial"/>
                <w:sz w:val="20"/>
                <w:szCs w:val="20"/>
              </w:rPr>
              <w:t xml:space="preserve"> replaced by our Standing Advice here and in Section 5 Development Checklists. Change also required to Appendix 1, para 6.1 which recommends consultation with us if protected species are identified.</w:t>
            </w:r>
          </w:p>
        </w:tc>
        <w:tc>
          <w:tcPr>
            <w:tcW w:w="5528" w:type="dxa"/>
            <w:shd w:val="clear" w:color="auto" w:fill="auto"/>
          </w:tcPr>
          <w:p w14:paraId="5375B87A" w14:textId="77777777" w:rsidR="00B12C56" w:rsidRPr="00F461C2" w:rsidRDefault="00B12C56" w:rsidP="002A3EB4">
            <w:pPr>
              <w:rPr>
                <w:rFonts w:ascii="Arial" w:hAnsi="Arial" w:cs="Arial"/>
                <w:sz w:val="20"/>
                <w:szCs w:val="20"/>
              </w:rPr>
            </w:pPr>
            <w:r w:rsidRPr="00F461C2">
              <w:rPr>
                <w:rFonts w:ascii="Arial" w:hAnsi="Arial" w:cs="Arial"/>
                <w:sz w:val="20"/>
                <w:szCs w:val="20"/>
              </w:rPr>
              <w:t>Comment accepted.</w:t>
            </w:r>
          </w:p>
          <w:p w14:paraId="663307A5" w14:textId="77777777" w:rsidR="00B12C56" w:rsidRPr="00F461C2" w:rsidRDefault="00B12C56" w:rsidP="002A3EB4">
            <w:pPr>
              <w:rPr>
                <w:rFonts w:ascii="Arial" w:hAnsi="Arial" w:cs="Arial"/>
                <w:sz w:val="20"/>
                <w:szCs w:val="20"/>
              </w:rPr>
            </w:pPr>
            <w:r w:rsidRPr="00F461C2">
              <w:rPr>
                <w:rFonts w:ascii="Arial" w:hAnsi="Arial" w:cs="Arial"/>
                <w:sz w:val="20"/>
                <w:szCs w:val="20"/>
              </w:rPr>
              <w:t>Delete various references recommending consultation with SNH/NatureScot and replace with link directing readers to NatureScot ‘Standing Advice’ where appropriate.</w:t>
            </w:r>
          </w:p>
          <w:p w14:paraId="4EB9314A" w14:textId="77777777" w:rsidR="00B12C56" w:rsidRPr="00F461C2" w:rsidRDefault="00B12C56" w:rsidP="002A3EB4">
            <w:pPr>
              <w:rPr>
                <w:rFonts w:ascii="Arial" w:hAnsi="Arial" w:cs="Arial"/>
                <w:color w:val="FF0000"/>
                <w:sz w:val="20"/>
                <w:szCs w:val="20"/>
              </w:rPr>
            </w:pPr>
          </w:p>
          <w:p w14:paraId="31A4B063" w14:textId="77777777" w:rsidR="00B12C56" w:rsidRPr="00F461C2" w:rsidRDefault="00B12C56" w:rsidP="002A3EB4">
            <w:pPr>
              <w:rPr>
                <w:rFonts w:ascii="Arial" w:hAnsi="Arial" w:cs="Arial"/>
                <w:sz w:val="20"/>
                <w:szCs w:val="20"/>
              </w:rPr>
            </w:pPr>
          </w:p>
        </w:tc>
      </w:tr>
      <w:tr w:rsidR="00B12C56" w:rsidRPr="00F461C2" w14:paraId="244C179A" w14:textId="77777777" w:rsidTr="002A3EB4">
        <w:tc>
          <w:tcPr>
            <w:tcW w:w="1696" w:type="dxa"/>
            <w:shd w:val="clear" w:color="auto" w:fill="auto"/>
          </w:tcPr>
          <w:p w14:paraId="6D507796" w14:textId="77777777" w:rsidR="00B12C56" w:rsidRPr="00F461C2" w:rsidRDefault="00B12C56" w:rsidP="002A3EB4">
            <w:pPr>
              <w:rPr>
                <w:rFonts w:ascii="Arial" w:hAnsi="Arial" w:cs="Arial"/>
                <w:sz w:val="20"/>
                <w:szCs w:val="20"/>
              </w:rPr>
            </w:pPr>
          </w:p>
        </w:tc>
        <w:tc>
          <w:tcPr>
            <w:tcW w:w="1843" w:type="dxa"/>
            <w:shd w:val="clear" w:color="auto" w:fill="auto"/>
          </w:tcPr>
          <w:p w14:paraId="4308B41F" w14:textId="77777777" w:rsidR="00B12C56" w:rsidRPr="00F461C2" w:rsidRDefault="00B12C56" w:rsidP="002A3EB4">
            <w:pPr>
              <w:rPr>
                <w:rFonts w:ascii="Arial" w:hAnsi="Arial" w:cs="Arial"/>
                <w:sz w:val="20"/>
                <w:szCs w:val="20"/>
              </w:rPr>
            </w:pPr>
            <w:r w:rsidRPr="00F461C2">
              <w:rPr>
                <w:rFonts w:ascii="Arial" w:hAnsi="Arial" w:cs="Arial"/>
                <w:sz w:val="20"/>
                <w:szCs w:val="20"/>
              </w:rPr>
              <w:t>Para 4.6</w:t>
            </w:r>
          </w:p>
        </w:tc>
        <w:tc>
          <w:tcPr>
            <w:tcW w:w="4536" w:type="dxa"/>
            <w:shd w:val="clear" w:color="auto" w:fill="auto"/>
          </w:tcPr>
          <w:p w14:paraId="3FF2E234"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The reference to </w:t>
            </w:r>
            <w:r w:rsidRPr="00F461C2">
              <w:rPr>
                <w:rFonts w:ascii="Arial" w:hAnsi="Arial" w:cs="Arial"/>
                <w:i/>
                <w:iCs/>
                <w:sz w:val="20"/>
                <w:szCs w:val="20"/>
              </w:rPr>
              <w:t xml:space="preserve">‘significant impact’ </w:t>
            </w:r>
            <w:r w:rsidRPr="00F461C2">
              <w:rPr>
                <w:rFonts w:ascii="Arial" w:hAnsi="Arial" w:cs="Arial"/>
                <w:sz w:val="20"/>
                <w:szCs w:val="20"/>
              </w:rPr>
              <w:t xml:space="preserve">should be changed to </w:t>
            </w:r>
            <w:r w:rsidRPr="00F461C2">
              <w:rPr>
                <w:rFonts w:ascii="Arial" w:hAnsi="Arial" w:cs="Arial"/>
                <w:i/>
                <w:iCs/>
                <w:sz w:val="20"/>
                <w:szCs w:val="20"/>
              </w:rPr>
              <w:t xml:space="preserve">‘likely significant effect’ </w:t>
            </w:r>
            <w:r w:rsidRPr="00F461C2">
              <w:rPr>
                <w:rFonts w:ascii="Arial" w:hAnsi="Arial" w:cs="Arial"/>
                <w:sz w:val="20"/>
                <w:szCs w:val="20"/>
              </w:rPr>
              <w:t xml:space="preserve">as this para deals with HRA. Also suggest that as the need </w:t>
            </w:r>
            <w:r w:rsidRPr="00F461C2">
              <w:rPr>
                <w:rFonts w:ascii="Arial" w:hAnsi="Arial" w:cs="Arial"/>
                <w:i/>
                <w:iCs/>
                <w:sz w:val="20"/>
                <w:szCs w:val="20"/>
              </w:rPr>
              <w:t>for ‘formal Appropriate Assessment</w:t>
            </w:r>
            <w:r w:rsidRPr="00F461C2">
              <w:rPr>
                <w:rFonts w:ascii="Arial" w:hAnsi="Arial" w:cs="Arial"/>
                <w:sz w:val="20"/>
                <w:szCs w:val="20"/>
              </w:rPr>
              <w:t xml:space="preserve">’ is </w:t>
            </w:r>
            <w:r w:rsidRPr="00F461C2">
              <w:rPr>
                <w:rFonts w:ascii="Arial" w:hAnsi="Arial" w:cs="Arial"/>
                <w:i/>
                <w:iCs/>
                <w:sz w:val="20"/>
                <w:szCs w:val="20"/>
              </w:rPr>
              <w:t xml:space="preserve">‘to establish that proposals will not have an adverse effect on site integrity’ </w:t>
            </w:r>
            <w:r w:rsidRPr="00F461C2">
              <w:rPr>
                <w:rFonts w:ascii="Arial" w:hAnsi="Arial" w:cs="Arial"/>
                <w:sz w:val="20"/>
                <w:szCs w:val="20"/>
              </w:rPr>
              <w:t>that this additional caveat is added to the final sentence.</w:t>
            </w:r>
          </w:p>
        </w:tc>
        <w:tc>
          <w:tcPr>
            <w:tcW w:w="5528" w:type="dxa"/>
            <w:shd w:val="clear" w:color="auto" w:fill="auto"/>
          </w:tcPr>
          <w:p w14:paraId="63DCAFAB" w14:textId="77777777" w:rsidR="00B12C56" w:rsidRPr="00F461C2" w:rsidRDefault="00B12C56" w:rsidP="002A3EB4">
            <w:pPr>
              <w:rPr>
                <w:rFonts w:ascii="Arial" w:hAnsi="Arial" w:cs="Arial"/>
                <w:sz w:val="20"/>
                <w:szCs w:val="20"/>
              </w:rPr>
            </w:pPr>
            <w:r w:rsidRPr="00F461C2">
              <w:rPr>
                <w:rFonts w:ascii="Arial" w:hAnsi="Arial" w:cs="Arial"/>
                <w:sz w:val="20"/>
                <w:szCs w:val="20"/>
              </w:rPr>
              <w:t>Comment accepted. Make amendment as specified.</w:t>
            </w:r>
          </w:p>
        </w:tc>
      </w:tr>
      <w:tr w:rsidR="00B12C56" w:rsidRPr="00F461C2" w14:paraId="3F35B977" w14:textId="77777777" w:rsidTr="002A3EB4">
        <w:tc>
          <w:tcPr>
            <w:tcW w:w="1696" w:type="dxa"/>
            <w:shd w:val="clear" w:color="auto" w:fill="auto"/>
          </w:tcPr>
          <w:p w14:paraId="163238AD" w14:textId="77777777" w:rsidR="00B12C56" w:rsidRPr="00F461C2" w:rsidRDefault="00B12C56" w:rsidP="002A3EB4">
            <w:pPr>
              <w:rPr>
                <w:rFonts w:ascii="Arial" w:hAnsi="Arial" w:cs="Arial"/>
                <w:sz w:val="20"/>
                <w:szCs w:val="20"/>
              </w:rPr>
            </w:pPr>
          </w:p>
        </w:tc>
        <w:tc>
          <w:tcPr>
            <w:tcW w:w="1843" w:type="dxa"/>
            <w:shd w:val="clear" w:color="auto" w:fill="auto"/>
          </w:tcPr>
          <w:p w14:paraId="1FB51480" w14:textId="77777777" w:rsidR="00B12C56" w:rsidRPr="00F461C2" w:rsidRDefault="00B12C56" w:rsidP="002A3EB4">
            <w:pPr>
              <w:rPr>
                <w:rFonts w:ascii="Arial" w:hAnsi="Arial" w:cs="Arial"/>
                <w:sz w:val="20"/>
                <w:szCs w:val="20"/>
              </w:rPr>
            </w:pPr>
            <w:r w:rsidRPr="00F461C2">
              <w:rPr>
                <w:rFonts w:ascii="Arial" w:hAnsi="Arial" w:cs="Arial"/>
                <w:sz w:val="20"/>
                <w:szCs w:val="20"/>
              </w:rPr>
              <w:t>Section 5</w:t>
            </w:r>
          </w:p>
        </w:tc>
        <w:tc>
          <w:tcPr>
            <w:tcW w:w="4536" w:type="dxa"/>
            <w:shd w:val="clear" w:color="auto" w:fill="auto"/>
          </w:tcPr>
          <w:p w14:paraId="00E02934" w14:textId="77777777" w:rsidR="00B12C56" w:rsidRPr="00F461C2" w:rsidRDefault="00B12C56" w:rsidP="002A3EB4">
            <w:pPr>
              <w:pStyle w:val="Default"/>
              <w:rPr>
                <w:color w:val="auto"/>
                <w:sz w:val="20"/>
                <w:szCs w:val="20"/>
              </w:rPr>
            </w:pPr>
            <w:r w:rsidRPr="00F461C2">
              <w:rPr>
                <w:sz w:val="20"/>
                <w:szCs w:val="20"/>
              </w:rPr>
              <w:t xml:space="preserve">Checklists setting out requirements is useful. Suggest a link to NatureScot website. </w:t>
            </w:r>
            <w:r w:rsidRPr="00F461C2">
              <w:rPr>
                <w:color w:val="auto"/>
                <w:sz w:val="20"/>
                <w:szCs w:val="20"/>
              </w:rPr>
              <w:t xml:space="preserve">Aware that links are provided in Appendix 6 but suggest </w:t>
            </w:r>
            <w:r w:rsidRPr="00F461C2">
              <w:rPr>
                <w:color w:val="auto"/>
                <w:sz w:val="20"/>
                <w:szCs w:val="20"/>
              </w:rPr>
              <w:lastRenderedPageBreak/>
              <w:t>a further link in Section 5 would round off the accessibility of information.</w:t>
            </w:r>
          </w:p>
        </w:tc>
        <w:tc>
          <w:tcPr>
            <w:tcW w:w="5528" w:type="dxa"/>
            <w:shd w:val="clear" w:color="auto" w:fill="auto"/>
          </w:tcPr>
          <w:p w14:paraId="329953EF" w14:textId="77777777" w:rsidR="00B12C56" w:rsidRPr="00F461C2" w:rsidRDefault="00B12C56" w:rsidP="002A3EB4">
            <w:pPr>
              <w:rPr>
                <w:rFonts w:ascii="Arial" w:hAnsi="Arial" w:cs="Arial"/>
                <w:sz w:val="20"/>
                <w:szCs w:val="20"/>
              </w:rPr>
            </w:pPr>
            <w:r w:rsidRPr="00F461C2">
              <w:rPr>
                <w:rFonts w:ascii="Arial" w:hAnsi="Arial" w:cs="Arial"/>
                <w:sz w:val="20"/>
                <w:szCs w:val="20"/>
              </w:rPr>
              <w:lastRenderedPageBreak/>
              <w:t>Comment accepted. Link will be provided in Section 5</w:t>
            </w:r>
          </w:p>
        </w:tc>
      </w:tr>
      <w:tr w:rsidR="00B12C56" w:rsidRPr="00F461C2" w14:paraId="75C4C7D9" w14:textId="77777777" w:rsidTr="002A3EB4">
        <w:tc>
          <w:tcPr>
            <w:tcW w:w="1696" w:type="dxa"/>
            <w:shd w:val="clear" w:color="auto" w:fill="auto"/>
          </w:tcPr>
          <w:p w14:paraId="0B18CDB5" w14:textId="77777777" w:rsidR="00B12C56" w:rsidRPr="00F461C2" w:rsidRDefault="00B12C56" w:rsidP="002A3EB4">
            <w:pPr>
              <w:rPr>
                <w:rFonts w:ascii="Arial" w:hAnsi="Arial" w:cs="Arial"/>
                <w:sz w:val="20"/>
                <w:szCs w:val="20"/>
              </w:rPr>
            </w:pPr>
          </w:p>
        </w:tc>
        <w:tc>
          <w:tcPr>
            <w:tcW w:w="1843" w:type="dxa"/>
            <w:shd w:val="clear" w:color="auto" w:fill="auto"/>
          </w:tcPr>
          <w:p w14:paraId="51984EDA" w14:textId="77777777" w:rsidR="00B12C56" w:rsidRPr="00F461C2" w:rsidRDefault="00B12C56" w:rsidP="002A3EB4">
            <w:pPr>
              <w:rPr>
                <w:rFonts w:ascii="Arial" w:hAnsi="Arial" w:cs="Arial"/>
                <w:sz w:val="20"/>
                <w:szCs w:val="20"/>
              </w:rPr>
            </w:pPr>
            <w:r w:rsidRPr="00F461C2">
              <w:rPr>
                <w:rFonts w:ascii="Arial" w:hAnsi="Arial" w:cs="Arial"/>
                <w:sz w:val="20"/>
                <w:szCs w:val="20"/>
              </w:rPr>
              <w:t>General / Appendix 7</w:t>
            </w:r>
          </w:p>
        </w:tc>
        <w:tc>
          <w:tcPr>
            <w:tcW w:w="4536" w:type="dxa"/>
            <w:shd w:val="clear" w:color="auto" w:fill="auto"/>
          </w:tcPr>
          <w:p w14:paraId="5B15E094" w14:textId="77777777" w:rsidR="00B12C56" w:rsidRPr="00F461C2" w:rsidRDefault="00B12C56" w:rsidP="002A3EB4">
            <w:pPr>
              <w:rPr>
                <w:rFonts w:ascii="Arial" w:hAnsi="Arial" w:cs="Arial"/>
                <w:sz w:val="20"/>
                <w:szCs w:val="20"/>
              </w:rPr>
            </w:pPr>
            <w:r w:rsidRPr="00F461C2">
              <w:rPr>
                <w:rFonts w:ascii="Arial" w:hAnsi="Arial" w:cs="Arial"/>
                <w:sz w:val="20"/>
                <w:szCs w:val="20"/>
              </w:rPr>
              <w:t>Change the contact information in Appendix 7 and references throughout the guidance from SNH to NatureScot.</w:t>
            </w:r>
          </w:p>
        </w:tc>
        <w:tc>
          <w:tcPr>
            <w:tcW w:w="5528" w:type="dxa"/>
            <w:shd w:val="clear" w:color="auto" w:fill="auto"/>
          </w:tcPr>
          <w:p w14:paraId="7155705E" w14:textId="77777777" w:rsidR="00B12C56" w:rsidRPr="00F461C2" w:rsidRDefault="00B12C56" w:rsidP="002A3EB4">
            <w:pPr>
              <w:rPr>
                <w:rFonts w:ascii="Arial" w:hAnsi="Arial" w:cs="Arial"/>
                <w:sz w:val="20"/>
                <w:szCs w:val="20"/>
              </w:rPr>
            </w:pPr>
            <w:r w:rsidRPr="00F461C2">
              <w:rPr>
                <w:rFonts w:ascii="Arial" w:hAnsi="Arial" w:cs="Arial"/>
                <w:sz w:val="20"/>
                <w:szCs w:val="20"/>
              </w:rPr>
              <w:t>Comment accepted. Make amendment as specified.</w:t>
            </w:r>
          </w:p>
        </w:tc>
      </w:tr>
      <w:tr w:rsidR="00B12C56" w:rsidRPr="00F461C2" w14:paraId="1B28782F" w14:textId="77777777" w:rsidTr="002A3EB4">
        <w:tc>
          <w:tcPr>
            <w:tcW w:w="1696" w:type="dxa"/>
            <w:shd w:val="clear" w:color="auto" w:fill="auto"/>
          </w:tcPr>
          <w:p w14:paraId="1933B9DC" w14:textId="77777777" w:rsidR="00B12C56" w:rsidRPr="00F461C2" w:rsidRDefault="00B12C56" w:rsidP="002A3EB4">
            <w:pPr>
              <w:rPr>
                <w:rFonts w:ascii="Arial" w:hAnsi="Arial" w:cs="Arial"/>
                <w:sz w:val="20"/>
                <w:szCs w:val="20"/>
              </w:rPr>
            </w:pPr>
            <w:r w:rsidRPr="00F461C2">
              <w:rPr>
                <w:rFonts w:ascii="Arial" w:hAnsi="Arial" w:cs="Arial"/>
                <w:sz w:val="20"/>
                <w:szCs w:val="20"/>
              </w:rPr>
              <w:t>SEPA</w:t>
            </w:r>
          </w:p>
        </w:tc>
        <w:tc>
          <w:tcPr>
            <w:tcW w:w="1843" w:type="dxa"/>
            <w:shd w:val="clear" w:color="auto" w:fill="auto"/>
          </w:tcPr>
          <w:p w14:paraId="706DE14B" w14:textId="77777777" w:rsidR="00B12C56" w:rsidRPr="00F461C2" w:rsidRDefault="00B12C56" w:rsidP="002A3EB4">
            <w:pPr>
              <w:rPr>
                <w:rFonts w:ascii="Arial" w:hAnsi="Arial" w:cs="Arial"/>
                <w:sz w:val="20"/>
                <w:szCs w:val="20"/>
              </w:rPr>
            </w:pPr>
            <w:r w:rsidRPr="00F461C2">
              <w:rPr>
                <w:rFonts w:ascii="Arial" w:hAnsi="Arial" w:cs="Arial"/>
                <w:sz w:val="20"/>
                <w:szCs w:val="20"/>
              </w:rPr>
              <w:t>General</w:t>
            </w:r>
          </w:p>
        </w:tc>
        <w:tc>
          <w:tcPr>
            <w:tcW w:w="4536" w:type="dxa"/>
            <w:shd w:val="clear" w:color="auto" w:fill="auto"/>
          </w:tcPr>
          <w:p w14:paraId="4268F92D" w14:textId="77777777" w:rsidR="00B12C56" w:rsidRPr="00F461C2" w:rsidRDefault="00B12C56" w:rsidP="002A3EB4">
            <w:pPr>
              <w:pStyle w:val="Default"/>
              <w:rPr>
                <w:color w:val="auto"/>
                <w:sz w:val="20"/>
                <w:szCs w:val="20"/>
              </w:rPr>
            </w:pPr>
            <w:r w:rsidRPr="00F461C2">
              <w:rPr>
                <w:color w:val="auto"/>
                <w:sz w:val="20"/>
                <w:szCs w:val="20"/>
              </w:rPr>
              <w:t>Welcome the SG and are pleased to see the linkages to other policies such as PE19 PE16 and PE22. Also pleased to see reference to the biodiversity aspects of designing SUDS.</w:t>
            </w:r>
          </w:p>
          <w:p w14:paraId="502C01CC" w14:textId="77777777" w:rsidR="00B12C56" w:rsidRPr="00F461C2" w:rsidRDefault="00B12C56" w:rsidP="002A3EB4">
            <w:pPr>
              <w:rPr>
                <w:rFonts w:ascii="Arial" w:hAnsi="Arial" w:cs="Arial"/>
                <w:sz w:val="20"/>
                <w:szCs w:val="20"/>
              </w:rPr>
            </w:pPr>
          </w:p>
        </w:tc>
        <w:tc>
          <w:tcPr>
            <w:tcW w:w="5528" w:type="dxa"/>
            <w:shd w:val="clear" w:color="auto" w:fill="auto"/>
          </w:tcPr>
          <w:p w14:paraId="434DCFC4" w14:textId="77777777" w:rsidR="00B12C56" w:rsidRPr="00F461C2" w:rsidRDefault="00B12C56" w:rsidP="002A3EB4">
            <w:pPr>
              <w:rPr>
                <w:rFonts w:ascii="Arial" w:hAnsi="Arial" w:cs="Arial"/>
                <w:sz w:val="20"/>
                <w:szCs w:val="20"/>
              </w:rPr>
            </w:pPr>
            <w:r w:rsidRPr="00F461C2">
              <w:rPr>
                <w:rFonts w:ascii="Arial" w:hAnsi="Arial" w:cs="Arial"/>
                <w:sz w:val="20"/>
                <w:szCs w:val="20"/>
              </w:rPr>
              <w:t>Comments noted.</w:t>
            </w:r>
          </w:p>
        </w:tc>
      </w:tr>
      <w:tr w:rsidR="00B12C56" w:rsidRPr="00F461C2" w14:paraId="35A2AD93" w14:textId="77777777" w:rsidTr="002A3EB4">
        <w:tc>
          <w:tcPr>
            <w:tcW w:w="1696" w:type="dxa"/>
            <w:shd w:val="clear" w:color="auto" w:fill="auto"/>
          </w:tcPr>
          <w:p w14:paraId="7A975EB7" w14:textId="77777777" w:rsidR="00B12C56" w:rsidRPr="00F461C2" w:rsidRDefault="00B12C56" w:rsidP="002A3EB4">
            <w:pPr>
              <w:rPr>
                <w:rFonts w:ascii="Arial" w:hAnsi="Arial" w:cs="Arial"/>
                <w:sz w:val="20"/>
                <w:szCs w:val="20"/>
              </w:rPr>
            </w:pPr>
          </w:p>
        </w:tc>
        <w:tc>
          <w:tcPr>
            <w:tcW w:w="1843" w:type="dxa"/>
            <w:shd w:val="clear" w:color="auto" w:fill="auto"/>
          </w:tcPr>
          <w:p w14:paraId="1C1982CD"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Wetland habitat protection </w:t>
            </w:r>
          </w:p>
          <w:p w14:paraId="19BBB0BE" w14:textId="77777777" w:rsidR="00B12C56" w:rsidRPr="00F461C2" w:rsidRDefault="00B12C56" w:rsidP="002A3EB4">
            <w:pPr>
              <w:rPr>
                <w:rFonts w:ascii="Arial" w:hAnsi="Arial" w:cs="Arial"/>
                <w:sz w:val="20"/>
                <w:szCs w:val="20"/>
              </w:rPr>
            </w:pPr>
          </w:p>
        </w:tc>
        <w:tc>
          <w:tcPr>
            <w:tcW w:w="4536" w:type="dxa"/>
            <w:shd w:val="clear" w:color="auto" w:fill="auto"/>
          </w:tcPr>
          <w:p w14:paraId="50781A53" w14:textId="77777777" w:rsidR="00B12C56" w:rsidRPr="00F461C2" w:rsidRDefault="00B12C56" w:rsidP="002A3EB4">
            <w:pPr>
              <w:rPr>
                <w:rFonts w:ascii="Arial" w:hAnsi="Arial" w:cs="Arial"/>
                <w:sz w:val="20"/>
                <w:szCs w:val="20"/>
              </w:rPr>
            </w:pPr>
            <w:r w:rsidRPr="00F461C2">
              <w:rPr>
                <w:rFonts w:ascii="Arial" w:hAnsi="Arial" w:cs="Arial"/>
                <w:sz w:val="20"/>
                <w:szCs w:val="20"/>
              </w:rPr>
              <w:t>Development should not impact detrimentally on water dependant habitats. Recommend SG includes the requirement for a phase habitat 1 survey to identify wetland habitats on the site using ‘A Functional Wetland Typology for Scotland’. A National Vegetation Classification (NVC) survey should be completed for any wetlands identified. The results of these findings should be submitted.</w:t>
            </w:r>
          </w:p>
        </w:tc>
        <w:tc>
          <w:tcPr>
            <w:tcW w:w="5528" w:type="dxa"/>
            <w:shd w:val="clear" w:color="auto" w:fill="auto"/>
          </w:tcPr>
          <w:p w14:paraId="2A96CFED" w14:textId="77777777" w:rsidR="00B12C56" w:rsidRPr="00F461C2" w:rsidRDefault="00B12C56" w:rsidP="002A3EB4">
            <w:pPr>
              <w:rPr>
                <w:rFonts w:ascii="Arial" w:hAnsi="Arial" w:cs="Arial"/>
                <w:sz w:val="20"/>
                <w:szCs w:val="20"/>
              </w:rPr>
            </w:pPr>
            <w:r w:rsidRPr="00F461C2">
              <w:rPr>
                <w:rFonts w:ascii="Arial" w:hAnsi="Arial" w:cs="Arial"/>
                <w:sz w:val="20"/>
                <w:szCs w:val="20"/>
              </w:rPr>
              <w:t>Comment accepted. Add additional sentence at the end of para 4.3: ‘Habitat Surveys should, where relevant, identify wetland habitats on the site using ‘A Functional Wetland Typology for Scotland’. A National Vegetation Classification (NVC) survey should be completed for any wetlands identified’.</w:t>
            </w:r>
          </w:p>
          <w:p w14:paraId="76B36E8B" w14:textId="77777777" w:rsidR="00B12C56" w:rsidRPr="00F461C2" w:rsidRDefault="00B12C56" w:rsidP="002A3EB4">
            <w:pPr>
              <w:rPr>
                <w:rFonts w:ascii="Arial" w:hAnsi="Arial" w:cs="Arial"/>
                <w:sz w:val="20"/>
                <w:szCs w:val="20"/>
              </w:rPr>
            </w:pPr>
          </w:p>
          <w:p w14:paraId="5CA4B438" w14:textId="77777777" w:rsidR="00B12C56" w:rsidRPr="00F461C2" w:rsidRDefault="00B12C56" w:rsidP="002A3EB4">
            <w:pPr>
              <w:rPr>
                <w:rFonts w:ascii="Arial" w:hAnsi="Arial" w:cs="Arial"/>
                <w:sz w:val="20"/>
                <w:szCs w:val="20"/>
              </w:rPr>
            </w:pPr>
            <w:r w:rsidRPr="00F461C2">
              <w:rPr>
                <w:rFonts w:ascii="Arial" w:hAnsi="Arial" w:cs="Arial"/>
                <w:sz w:val="20"/>
                <w:szCs w:val="20"/>
              </w:rPr>
              <w:t>Reference: ‘A Functional Wetland Typology for Scotland’ in Appendix 6: Further Information</w:t>
            </w:r>
          </w:p>
        </w:tc>
      </w:tr>
      <w:tr w:rsidR="00B12C56" w:rsidRPr="00F461C2" w14:paraId="1BB0584C" w14:textId="77777777" w:rsidTr="002A3EB4">
        <w:tc>
          <w:tcPr>
            <w:tcW w:w="1696" w:type="dxa"/>
            <w:shd w:val="clear" w:color="auto" w:fill="auto"/>
          </w:tcPr>
          <w:p w14:paraId="3CE9A317" w14:textId="77777777" w:rsidR="00B12C56" w:rsidRPr="00F461C2" w:rsidRDefault="00B12C56" w:rsidP="002A3EB4">
            <w:pPr>
              <w:rPr>
                <w:rFonts w:ascii="Arial" w:hAnsi="Arial" w:cs="Arial"/>
                <w:sz w:val="20"/>
                <w:szCs w:val="20"/>
              </w:rPr>
            </w:pPr>
          </w:p>
        </w:tc>
        <w:tc>
          <w:tcPr>
            <w:tcW w:w="1843" w:type="dxa"/>
            <w:shd w:val="clear" w:color="auto" w:fill="auto"/>
          </w:tcPr>
          <w:p w14:paraId="6A227628" w14:textId="77777777" w:rsidR="00B12C56" w:rsidRPr="00F461C2" w:rsidRDefault="00B12C56" w:rsidP="002A3EB4">
            <w:pPr>
              <w:rPr>
                <w:rFonts w:ascii="Arial" w:hAnsi="Arial" w:cs="Arial"/>
                <w:sz w:val="20"/>
                <w:szCs w:val="20"/>
              </w:rPr>
            </w:pPr>
            <w:r w:rsidRPr="00F461C2">
              <w:rPr>
                <w:rFonts w:ascii="Arial" w:hAnsi="Arial" w:cs="Arial"/>
                <w:sz w:val="20"/>
                <w:szCs w:val="20"/>
              </w:rPr>
              <w:t>Peat</w:t>
            </w:r>
          </w:p>
        </w:tc>
        <w:tc>
          <w:tcPr>
            <w:tcW w:w="4536" w:type="dxa"/>
            <w:shd w:val="clear" w:color="auto" w:fill="auto"/>
          </w:tcPr>
          <w:p w14:paraId="471BBD57"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Support that the SG references the requirement to assess the impact of development on peat soils.   Note LDP2 PE25 provides more detailed guidance on the management of peat on development sites.  </w:t>
            </w:r>
            <w:proofErr w:type="gramStart"/>
            <w:r w:rsidRPr="00F461C2">
              <w:rPr>
                <w:rFonts w:ascii="Arial" w:hAnsi="Arial" w:cs="Arial"/>
                <w:sz w:val="20"/>
                <w:szCs w:val="20"/>
              </w:rPr>
              <w:t>Therefore</w:t>
            </w:r>
            <w:proofErr w:type="gramEnd"/>
            <w:r w:rsidRPr="00F461C2">
              <w:rPr>
                <w:rFonts w:ascii="Arial" w:hAnsi="Arial" w:cs="Arial"/>
                <w:sz w:val="20"/>
                <w:szCs w:val="20"/>
              </w:rPr>
              <w:t xml:space="preserve"> satisfied the protection of peat and carbon rich soils is adequately covered by LDP2 and further detail is not required in SG07.</w:t>
            </w:r>
          </w:p>
        </w:tc>
        <w:tc>
          <w:tcPr>
            <w:tcW w:w="5528" w:type="dxa"/>
            <w:shd w:val="clear" w:color="auto" w:fill="auto"/>
          </w:tcPr>
          <w:p w14:paraId="0E3B8029" w14:textId="77777777" w:rsidR="00B12C56" w:rsidRPr="00F461C2" w:rsidRDefault="00B12C56" w:rsidP="002A3EB4">
            <w:pPr>
              <w:rPr>
                <w:rFonts w:ascii="Arial" w:hAnsi="Arial" w:cs="Arial"/>
                <w:sz w:val="20"/>
                <w:szCs w:val="20"/>
              </w:rPr>
            </w:pPr>
            <w:r w:rsidRPr="00F461C2">
              <w:rPr>
                <w:rFonts w:ascii="Arial" w:hAnsi="Arial" w:cs="Arial"/>
                <w:sz w:val="20"/>
                <w:szCs w:val="20"/>
              </w:rPr>
              <w:t>Comments noted.</w:t>
            </w:r>
          </w:p>
        </w:tc>
      </w:tr>
      <w:tr w:rsidR="00B12C56" w:rsidRPr="00F461C2" w14:paraId="67AF4632" w14:textId="77777777" w:rsidTr="002A3EB4">
        <w:tc>
          <w:tcPr>
            <w:tcW w:w="1696" w:type="dxa"/>
            <w:shd w:val="clear" w:color="auto" w:fill="auto"/>
          </w:tcPr>
          <w:p w14:paraId="57382650" w14:textId="77777777" w:rsidR="00B12C56" w:rsidRPr="00F461C2" w:rsidRDefault="00B12C56" w:rsidP="002A3EB4">
            <w:pPr>
              <w:rPr>
                <w:rFonts w:ascii="Arial" w:hAnsi="Arial" w:cs="Arial"/>
                <w:sz w:val="20"/>
                <w:szCs w:val="20"/>
              </w:rPr>
            </w:pPr>
            <w:r w:rsidRPr="00F461C2">
              <w:rPr>
                <w:rFonts w:ascii="Arial" w:hAnsi="Arial" w:cs="Arial"/>
                <w:sz w:val="20"/>
                <w:szCs w:val="20"/>
              </w:rPr>
              <w:t>Woodland Trust Scotland</w:t>
            </w:r>
          </w:p>
        </w:tc>
        <w:tc>
          <w:tcPr>
            <w:tcW w:w="1843" w:type="dxa"/>
            <w:shd w:val="clear" w:color="auto" w:fill="auto"/>
          </w:tcPr>
          <w:p w14:paraId="2022A893" w14:textId="77777777" w:rsidR="00B12C56" w:rsidRPr="00F461C2" w:rsidRDefault="00B12C56" w:rsidP="002A3EB4">
            <w:pPr>
              <w:rPr>
                <w:rFonts w:ascii="Arial" w:hAnsi="Arial" w:cs="Arial"/>
                <w:sz w:val="20"/>
                <w:szCs w:val="20"/>
              </w:rPr>
            </w:pPr>
            <w:r w:rsidRPr="00F461C2">
              <w:rPr>
                <w:rFonts w:ascii="Arial" w:hAnsi="Arial" w:cs="Arial"/>
                <w:sz w:val="20"/>
                <w:szCs w:val="20"/>
              </w:rPr>
              <w:t>General</w:t>
            </w:r>
          </w:p>
        </w:tc>
        <w:tc>
          <w:tcPr>
            <w:tcW w:w="4536" w:type="dxa"/>
            <w:shd w:val="clear" w:color="auto" w:fill="auto"/>
          </w:tcPr>
          <w:p w14:paraId="6CA9DD40"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Overall supports the aims set out in the SG. </w:t>
            </w:r>
            <w:proofErr w:type="gramStart"/>
            <w:r w:rsidRPr="00F461C2">
              <w:rPr>
                <w:rFonts w:ascii="Arial" w:hAnsi="Arial" w:cs="Arial"/>
                <w:sz w:val="20"/>
                <w:szCs w:val="20"/>
              </w:rPr>
              <w:t>However</w:t>
            </w:r>
            <w:proofErr w:type="gramEnd"/>
            <w:r w:rsidRPr="00F461C2">
              <w:rPr>
                <w:rFonts w:ascii="Arial" w:hAnsi="Arial" w:cs="Arial"/>
                <w:sz w:val="20"/>
                <w:szCs w:val="20"/>
              </w:rPr>
              <w:t xml:space="preserve"> would like SG to place a larger significance on the importance of protecting ancient woodland as a habitat of significant biodiversity value.</w:t>
            </w:r>
          </w:p>
        </w:tc>
        <w:tc>
          <w:tcPr>
            <w:tcW w:w="5528" w:type="dxa"/>
            <w:shd w:val="clear" w:color="auto" w:fill="auto"/>
          </w:tcPr>
          <w:p w14:paraId="4B99D5E3" w14:textId="77777777" w:rsidR="00B12C56" w:rsidRPr="00F461C2" w:rsidRDefault="00B12C56" w:rsidP="002A3EB4">
            <w:pPr>
              <w:rPr>
                <w:rFonts w:ascii="Arial" w:hAnsi="Arial" w:cs="Arial"/>
                <w:sz w:val="20"/>
                <w:szCs w:val="20"/>
              </w:rPr>
            </w:pPr>
            <w:r w:rsidRPr="00F461C2">
              <w:rPr>
                <w:rFonts w:ascii="Arial" w:hAnsi="Arial" w:cs="Arial"/>
                <w:sz w:val="20"/>
                <w:szCs w:val="20"/>
              </w:rPr>
              <w:t>Comments noted.</w:t>
            </w:r>
          </w:p>
        </w:tc>
      </w:tr>
      <w:tr w:rsidR="00B12C56" w:rsidRPr="00F461C2" w14:paraId="66DAFA9C" w14:textId="77777777" w:rsidTr="002A3EB4">
        <w:tc>
          <w:tcPr>
            <w:tcW w:w="1696" w:type="dxa"/>
            <w:shd w:val="clear" w:color="auto" w:fill="auto"/>
          </w:tcPr>
          <w:p w14:paraId="4A24D91C" w14:textId="77777777" w:rsidR="00B12C56" w:rsidRPr="00F461C2" w:rsidRDefault="00B12C56" w:rsidP="002A3EB4">
            <w:pPr>
              <w:rPr>
                <w:rFonts w:ascii="Arial" w:hAnsi="Arial" w:cs="Arial"/>
                <w:sz w:val="20"/>
                <w:szCs w:val="20"/>
              </w:rPr>
            </w:pPr>
          </w:p>
        </w:tc>
        <w:tc>
          <w:tcPr>
            <w:tcW w:w="1843" w:type="dxa"/>
            <w:shd w:val="clear" w:color="auto" w:fill="auto"/>
          </w:tcPr>
          <w:p w14:paraId="02A9E510"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Para 2.2 </w:t>
            </w:r>
          </w:p>
        </w:tc>
        <w:tc>
          <w:tcPr>
            <w:tcW w:w="4536" w:type="dxa"/>
            <w:shd w:val="clear" w:color="auto" w:fill="auto"/>
          </w:tcPr>
          <w:p w14:paraId="4AC53AC7" w14:textId="77777777" w:rsidR="00B12C56" w:rsidRPr="00F461C2" w:rsidRDefault="00B12C56" w:rsidP="002A3EB4">
            <w:pPr>
              <w:rPr>
                <w:rFonts w:ascii="Arial" w:hAnsi="Arial" w:cs="Arial"/>
                <w:sz w:val="20"/>
                <w:szCs w:val="20"/>
              </w:rPr>
            </w:pPr>
            <w:r w:rsidRPr="00F461C2">
              <w:rPr>
                <w:rFonts w:ascii="Arial" w:hAnsi="Arial" w:cs="Arial"/>
                <w:sz w:val="20"/>
                <w:szCs w:val="20"/>
              </w:rPr>
              <w:t>Section should explicitly acknowledge the high biodiversity value of ancient woodlands and trees and include reference to ‘PAN60’ and ‘The Scottish Forestry Strategy (SFS) 2019-2029’.</w:t>
            </w:r>
          </w:p>
        </w:tc>
        <w:tc>
          <w:tcPr>
            <w:tcW w:w="5528" w:type="dxa"/>
            <w:shd w:val="clear" w:color="auto" w:fill="auto"/>
          </w:tcPr>
          <w:p w14:paraId="0B6CC555" w14:textId="77777777" w:rsidR="00B12C56" w:rsidRPr="00F461C2" w:rsidRDefault="00B12C56" w:rsidP="002A3EB4">
            <w:pPr>
              <w:rPr>
                <w:rFonts w:ascii="Arial" w:hAnsi="Arial" w:cs="Arial"/>
                <w:sz w:val="20"/>
                <w:szCs w:val="20"/>
              </w:rPr>
            </w:pPr>
            <w:r w:rsidRPr="00F461C2">
              <w:rPr>
                <w:rFonts w:ascii="Arial" w:hAnsi="Arial" w:cs="Arial"/>
                <w:sz w:val="20"/>
                <w:szCs w:val="20"/>
              </w:rPr>
              <w:t>Comment partially accepted. Ancient woodlands and trees will be added to the table. PAN60 already referenced in the table. A reference to ‘The Scottish Forestry Strategy (SFS) 2019-2029’ will be added.</w:t>
            </w:r>
          </w:p>
        </w:tc>
      </w:tr>
      <w:tr w:rsidR="00B12C56" w:rsidRPr="00F461C2" w14:paraId="1E97DC70" w14:textId="77777777" w:rsidTr="002A3EB4">
        <w:tc>
          <w:tcPr>
            <w:tcW w:w="1696" w:type="dxa"/>
            <w:shd w:val="clear" w:color="auto" w:fill="auto"/>
          </w:tcPr>
          <w:p w14:paraId="79CD1D5E" w14:textId="77777777" w:rsidR="00B12C56" w:rsidRPr="00F461C2" w:rsidRDefault="00B12C56" w:rsidP="002A3EB4">
            <w:pPr>
              <w:rPr>
                <w:rFonts w:ascii="Arial" w:hAnsi="Arial" w:cs="Arial"/>
                <w:sz w:val="20"/>
                <w:szCs w:val="20"/>
              </w:rPr>
            </w:pPr>
          </w:p>
        </w:tc>
        <w:tc>
          <w:tcPr>
            <w:tcW w:w="1843" w:type="dxa"/>
            <w:shd w:val="clear" w:color="auto" w:fill="auto"/>
          </w:tcPr>
          <w:p w14:paraId="4CEC922A" w14:textId="77777777" w:rsidR="00B12C56" w:rsidRPr="00F461C2" w:rsidRDefault="00B12C56" w:rsidP="002A3EB4">
            <w:pPr>
              <w:rPr>
                <w:rFonts w:ascii="Arial" w:hAnsi="Arial" w:cs="Arial"/>
                <w:sz w:val="20"/>
                <w:szCs w:val="20"/>
              </w:rPr>
            </w:pPr>
            <w:r w:rsidRPr="00F461C2">
              <w:rPr>
                <w:rFonts w:ascii="Arial" w:hAnsi="Arial" w:cs="Arial"/>
                <w:sz w:val="20"/>
                <w:szCs w:val="20"/>
              </w:rPr>
              <w:t>Para 2.5</w:t>
            </w:r>
          </w:p>
        </w:tc>
        <w:tc>
          <w:tcPr>
            <w:tcW w:w="4536" w:type="dxa"/>
            <w:shd w:val="clear" w:color="auto" w:fill="auto"/>
          </w:tcPr>
          <w:p w14:paraId="2AB02834"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Would like to see the requirement for new planting on a development extended. To ensure that development land includes trees, we would like the Council to commit to a minimum of 30% tree canopy cover target for new development land. </w:t>
            </w:r>
          </w:p>
        </w:tc>
        <w:tc>
          <w:tcPr>
            <w:tcW w:w="5528" w:type="dxa"/>
            <w:shd w:val="clear" w:color="auto" w:fill="auto"/>
          </w:tcPr>
          <w:p w14:paraId="43032FA7" w14:textId="77777777" w:rsidR="00B12C56" w:rsidRPr="00F461C2" w:rsidRDefault="00B12C56" w:rsidP="002A3EB4">
            <w:pPr>
              <w:rPr>
                <w:rFonts w:ascii="Arial" w:hAnsi="Arial" w:cs="Arial"/>
                <w:sz w:val="20"/>
                <w:szCs w:val="20"/>
              </w:rPr>
            </w:pPr>
            <w:r w:rsidRPr="00F461C2">
              <w:rPr>
                <w:rFonts w:ascii="Arial" w:hAnsi="Arial" w:cs="Arial"/>
                <w:sz w:val="20"/>
                <w:szCs w:val="20"/>
              </w:rPr>
              <w:t>Comment not accepted. SG05 will set out standards on the provision of green infrastructure in new development.</w:t>
            </w:r>
          </w:p>
          <w:p w14:paraId="6C47EE8F"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The suggested 30% requirement would be too </w:t>
            </w:r>
            <w:proofErr w:type="gramStart"/>
            <w:r w:rsidRPr="00F461C2">
              <w:rPr>
                <w:rFonts w:ascii="Arial" w:hAnsi="Arial" w:cs="Arial"/>
                <w:sz w:val="20"/>
                <w:szCs w:val="20"/>
              </w:rPr>
              <w:t>onerous, and</w:t>
            </w:r>
            <w:proofErr w:type="gramEnd"/>
            <w:r w:rsidRPr="00F461C2">
              <w:rPr>
                <w:rFonts w:ascii="Arial" w:hAnsi="Arial" w:cs="Arial"/>
                <w:sz w:val="20"/>
                <w:szCs w:val="20"/>
              </w:rPr>
              <w:t xml:space="preserve"> would likely to render sites unviable. It would also prioritise woodland potentially at the expense of other types of </w:t>
            </w:r>
            <w:proofErr w:type="gramStart"/>
            <w:r w:rsidRPr="00F461C2">
              <w:rPr>
                <w:rFonts w:ascii="Arial" w:hAnsi="Arial" w:cs="Arial"/>
                <w:sz w:val="20"/>
                <w:szCs w:val="20"/>
              </w:rPr>
              <w:t>habitat</w:t>
            </w:r>
            <w:proofErr w:type="gramEnd"/>
            <w:r w:rsidRPr="00F461C2">
              <w:rPr>
                <w:rFonts w:ascii="Arial" w:hAnsi="Arial" w:cs="Arial"/>
                <w:sz w:val="20"/>
                <w:szCs w:val="20"/>
              </w:rPr>
              <w:t xml:space="preserve"> and the provision of various types of open space.</w:t>
            </w:r>
          </w:p>
        </w:tc>
      </w:tr>
      <w:tr w:rsidR="00B12C56" w:rsidRPr="00F461C2" w14:paraId="1140B3C7" w14:textId="77777777" w:rsidTr="002A3EB4">
        <w:tc>
          <w:tcPr>
            <w:tcW w:w="1696" w:type="dxa"/>
            <w:shd w:val="clear" w:color="auto" w:fill="auto"/>
          </w:tcPr>
          <w:p w14:paraId="42F06B29" w14:textId="77777777" w:rsidR="00B12C56" w:rsidRPr="00F461C2" w:rsidRDefault="00B12C56" w:rsidP="002A3EB4">
            <w:pPr>
              <w:rPr>
                <w:rFonts w:ascii="Arial" w:hAnsi="Arial" w:cs="Arial"/>
                <w:sz w:val="20"/>
                <w:szCs w:val="20"/>
              </w:rPr>
            </w:pPr>
          </w:p>
        </w:tc>
        <w:tc>
          <w:tcPr>
            <w:tcW w:w="1843" w:type="dxa"/>
            <w:shd w:val="clear" w:color="auto" w:fill="auto"/>
          </w:tcPr>
          <w:p w14:paraId="1C4BDFC2" w14:textId="77777777" w:rsidR="00B12C56" w:rsidRPr="00F461C2" w:rsidRDefault="00B12C56" w:rsidP="002A3EB4">
            <w:pPr>
              <w:rPr>
                <w:rFonts w:ascii="Arial" w:hAnsi="Arial" w:cs="Arial"/>
                <w:sz w:val="20"/>
                <w:szCs w:val="20"/>
              </w:rPr>
            </w:pPr>
            <w:r w:rsidRPr="00F461C2">
              <w:rPr>
                <w:rFonts w:ascii="Arial" w:hAnsi="Arial" w:cs="Arial"/>
                <w:sz w:val="20"/>
                <w:szCs w:val="20"/>
              </w:rPr>
              <w:t>Para 3.1 /4.11</w:t>
            </w:r>
          </w:p>
        </w:tc>
        <w:tc>
          <w:tcPr>
            <w:tcW w:w="4536" w:type="dxa"/>
            <w:shd w:val="clear" w:color="auto" w:fill="auto"/>
          </w:tcPr>
          <w:p w14:paraId="25D3E37B"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Would like to see a clear statement in paras 3.1 and 4.11 recognising that the loss of ancient woodland cannot be compensated for. </w:t>
            </w:r>
          </w:p>
          <w:p w14:paraId="4CCA9C88" w14:textId="77777777" w:rsidR="00B12C56" w:rsidRPr="00F461C2" w:rsidRDefault="00B12C56" w:rsidP="002A3EB4">
            <w:pPr>
              <w:rPr>
                <w:rFonts w:ascii="Arial" w:hAnsi="Arial" w:cs="Arial"/>
                <w:sz w:val="20"/>
                <w:szCs w:val="20"/>
              </w:rPr>
            </w:pPr>
            <w:r w:rsidRPr="00F461C2">
              <w:rPr>
                <w:rFonts w:ascii="Arial" w:hAnsi="Arial" w:cs="Arial"/>
                <w:sz w:val="20"/>
                <w:szCs w:val="20"/>
              </w:rPr>
              <w:t>The Woodland Trust’s “</w:t>
            </w:r>
            <w:hyperlink r:id="rId13" w:history="1">
              <w:r w:rsidRPr="00F461C2">
                <w:rPr>
                  <w:rStyle w:val="Hyperlink"/>
                  <w:rFonts w:ascii="Arial" w:hAnsi="Arial" w:cs="Arial"/>
                  <w:color w:val="auto"/>
                  <w:sz w:val="20"/>
                  <w:szCs w:val="20"/>
                </w:rPr>
                <w:t>Planners’ Manual for Ancient Woodland and Veteran Trees</w:t>
              </w:r>
            </w:hyperlink>
            <w:r w:rsidRPr="00F461C2">
              <w:rPr>
                <w:rFonts w:ascii="Arial" w:hAnsi="Arial" w:cs="Arial"/>
                <w:sz w:val="20"/>
                <w:szCs w:val="20"/>
              </w:rPr>
              <w:t>”</w:t>
            </w:r>
            <w:r w:rsidRPr="00F461C2">
              <w:rPr>
                <w:rStyle w:val="FootnoteReference"/>
                <w:rFonts w:ascii="Arial" w:hAnsi="Arial" w:cs="Arial"/>
                <w:sz w:val="20"/>
                <w:szCs w:val="20"/>
              </w:rPr>
              <w:footnoteReference w:id="1"/>
            </w:r>
            <w:r w:rsidRPr="00F461C2">
              <w:rPr>
                <w:rFonts w:ascii="Arial" w:hAnsi="Arial" w:cs="Arial"/>
                <w:sz w:val="20"/>
                <w:szCs w:val="20"/>
              </w:rPr>
              <w:t xml:space="preserve"> contains more information on appropriate mitigation measures on page 16. </w:t>
            </w:r>
            <w:r w:rsidRPr="00F461C2">
              <w:rPr>
                <w:rFonts w:ascii="Arial" w:hAnsi="Arial" w:cs="Arial"/>
                <w:sz w:val="20"/>
                <w:szCs w:val="20"/>
                <w:lang w:val="en-US"/>
              </w:rPr>
              <w:t xml:space="preserve">We would like to see this reflected in </w:t>
            </w:r>
            <w:r w:rsidRPr="00F461C2">
              <w:rPr>
                <w:rFonts w:ascii="Arial" w:hAnsi="Arial" w:cs="Arial"/>
                <w:i/>
                <w:sz w:val="20"/>
                <w:szCs w:val="20"/>
                <w:u w:val="single"/>
                <w:lang w:val="en-US"/>
              </w:rPr>
              <w:t>section 4.</w:t>
            </w:r>
            <w:r w:rsidRPr="00F461C2">
              <w:rPr>
                <w:rFonts w:ascii="Arial" w:hAnsi="Arial" w:cs="Arial"/>
                <w:sz w:val="20"/>
                <w:szCs w:val="20"/>
                <w:u w:val="single"/>
                <w:lang w:val="en-US"/>
              </w:rPr>
              <w:t>29.</w:t>
            </w:r>
            <w:r w:rsidRPr="00F461C2">
              <w:rPr>
                <w:rFonts w:ascii="Arial" w:hAnsi="Arial" w:cs="Arial"/>
                <w:sz w:val="20"/>
                <w:szCs w:val="20"/>
              </w:rPr>
              <w:t xml:space="preserve"> </w:t>
            </w:r>
          </w:p>
          <w:p w14:paraId="13E3E5C0" w14:textId="77777777" w:rsidR="00B12C56" w:rsidRPr="00F461C2" w:rsidRDefault="00B12C56" w:rsidP="002A3EB4">
            <w:pPr>
              <w:rPr>
                <w:rFonts w:ascii="Arial" w:hAnsi="Arial" w:cs="Arial"/>
                <w:sz w:val="20"/>
                <w:szCs w:val="20"/>
              </w:rPr>
            </w:pPr>
          </w:p>
        </w:tc>
        <w:tc>
          <w:tcPr>
            <w:tcW w:w="5528" w:type="dxa"/>
            <w:shd w:val="clear" w:color="auto" w:fill="auto"/>
          </w:tcPr>
          <w:p w14:paraId="28F1B026" w14:textId="77777777" w:rsidR="00B12C56" w:rsidRPr="00F461C2" w:rsidRDefault="00B12C56" w:rsidP="002A3EB4">
            <w:pPr>
              <w:rPr>
                <w:rFonts w:ascii="Arial" w:hAnsi="Arial" w:cs="Arial"/>
                <w:sz w:val="20"/>
                <w:szCs w:val="20"/>
              </w:rPr>
            </w:pPr>
            <w:r w:rsidRPr="00F461C2">
              <w:rPr>
                <w:rFonts w:ascii="Arial" w:hAnsi="Arial" w:cs="Arial"/>
                <w:sz w:val="20"/>
                <w:szCs w:val="20"/>
              </w:rPr>
              <w:t>Comment partly accepted. The importance of ancient woodland is accepted, and protection is given in LDP policy PE20 (2). Insert additional bullet point in para 4.21 under ‘Other features of ecological importance’ as follows: ‘Ancient, long established and semi natural, including sites identified in the Scottish Ancient Woodland Inventory, should be protected as a resource of irreplaceable value’. Insert additional text at the end of para 4.27 as follows: ‘The loss of some habitats, e.g. ancient woodland, cannot be adequately compensated for.’</w:t>
            </w:r>
          </w:p>
          <w:p w14:paraId="5AFF5A86" w14:textId="77777777" w:rsidR="00B12C56" w:rsidRPr="00F461C2" w:rsidRDefault="00B12C56" w:rsidP="002A3EB4">
            <w:pPr>
              <w:rPr>
                <w:rFonts w:ascii="Arial" w:hAnsi="Arial" w:cs="Arial"/>
                <w:sz w:val="20"/>
                <w:szCs w:val="20"/>
              </w:rPr>
            </w:pPr>
            <w:r w:rsidRPr="00F461C2">
              <w:rPr>
                <w:rFonts w:ascii="Arial" w:hAnsi="Arial" w:cs="Arial"/>
                <w:sz w:val="20"/>
                <w:szCs w:val="20"/>
              </w:rPr>
              <w:t>The document cited will be referenced in Appendix 6 under ‘Woodland’</w:t>
            </w:r>
          </w:p>
        </w:tc>
      </w:tr>
      <w:tr w:rsidR="00B12C56" w:rsidRPr="00F461C2" w14:paraId="30B72397" w14:textId="77777777" w:rsidTr="002A3EB4">
        <w:tc>
          <w:tcPr>
            <w:tcW w:w="1696" w:type="dxa"/>
            <w:shd w:val="clear" w:color="auto" w:fill="auto"/>
          </w:tcPr>
          <w:p w14:paraId="7A3D9EC0" w14:textId="77777777" w:rsidR="00B12C56" w:rsidRPr="00F461C2" w:rsidRDefault="00B12C56" w:rsidP="002A3EB4">
            <w:pPr>
              <w:rPr>
                <w:rFonts w:ascii="Arial" w:hAnsi="Arial" w:cs="Arial"/>
                <w:sz w:val="20"/>
                <w:szCs w:val="20"/>
              </w:rPr>
            </w:pPr>
          </w:p>
        </w:tc>
        <w:tc>
          <w:tcPr>
            <w:tcW w:w="1843" w:type="dxa"/>
            <w:shd w:val="clear" w:color="auto" w:fill="auto"/>
          </w:tcPr>
          <w:p w14:paraId="29001434" w14:textId="77777777" w:rsidR="00B12C56" w:rsidRPr="00F461C2" w:rsidRDefault="00B12C56" w:rsidP="002A3EB4">
            <w:pPr>
              <w:rPr>
                <w:rFonts w:ascii="Arial" w:hAnsi="Arial" w:cs="Arial"/>
                <w:sz w:val="20"/>
                <w:szCs w:val="20"/>
              </w:rPr>
            </w:pPr>
            <w:r w:rsidRPr="00F461C2">
              <w:rPr>
                <w:rFonts w:ascii="Arial" w:hAnsi="Arial" w:cs="Arial"/>
                <w:sz w:val="20"/>
                <w:szCs w:val="20"/>
              </w:rPr>
              <w:t>Appendix 1</w:t>
            </w:r>
          </w:p>
        </w:tc>
        <w:tc>
          <w:tcPr>
            <w:tcW w:w="4536" w:type="dxa"/>
            <w:shd w:val="clear" w:color="auto" w:fill="auto"/>
          </w:tcPr>
          <w:p w14:paraId="0313CA76"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Would like to see the requirement for a tree survey to ensure proper consideration of trees / woodland to be protected and retained. This should also form part of </w:t>
            </w:r>
            <w:r w:rsidRPr="00F461C2">
              <w:rPr>
                <w:rFonts w:ascii="Arial" w:hAnsi="Arial" w:cs="Arial"/>
                <w:i/>
                <w:sz w:val="20"/>
                <w:szCs w:val="20"/>
                <w:u w:val="single"/>
              </w:rPr>
              <w:t>Appendix 1 – Initial Site Audit.</w:t>
            </w:r>
          </w:p>
        </w:tc>
        <w:tc>
          <w:tcPr>
            <w:tcW w:w="5528" w:type="dxa"/>
            <w:shd w:val="clear" w:color="auto" w:fill="auto"/>
          </w:tcPr>
          <w:p w14:paraId="294AD3DB" w14:textId="77777777" w:rsidR="00B12C56" w:rsidRPr="00F461C2" w:rsidRDefault="00B12C56" w:rsidP="002A3EB4">
            <w:pPr>
              <w:rPr>
                <w:rFonts w:ascii="Arial" w:hAnsi="Arial" w:cs="Arial"/>
                <w:sz w:val="20"/>
                <w:szCs w:val="20"/>
              </w:rPr>
            </w:pPr>
            <w:r w:rsidRPr="00F461C2">
              <w:rPr>
                <w:rFonts w:ascii="Arial" w:hAnsi="Arial" w:cs="Arial"/>
                <w:sz w:val="20"/>
                <w:szCs w:val="20"/>
              </w:rPr>
              <w:t>Comment not accepted. The requirements for tree surveys are more appropriately dealt with in SG10 ‘Trees and Development’.</w:t>
            </w:r>
          </w:p>
          <w:p w14:paraId="36AE3AE0" w14:textId="77777777" w:rsidR="00B12C56" w:rsidRPr="00F461C2" w:rsidRDefault="00B12C56" w:rsidP="002A3EB4">
            <w:pPr>
              <w:rPr>
                <w:rFonts w:ascii="Arial" w:hAnsi="Arial" w:cs="Arial"/>
                <w:sz w:val="20"/>
                <w:szCs w:val="20"/>
              </w:rPr>
            </w:pPr>
          </w:p>
          <w:p w14:paraId="55156456" w14:textId="77777777" w:rsidR="00B12C56" w:rsidRPr="00F461C2" w:rsidRDefault="00B12C56" w:rsidP="002A3EB4">
            <w:pPr>
              <w:rPr>
                <w:rFonts w:ascii="Arial" w:hAnsi="Arial" w:cs="Arial"/>
                <w:sz w:val="20"/>
                <w:szCs w:val="20"/>
              </w:rPr>
            </w:pPr>
            <w:r w:rsidRPr="00F461C2">
              <w:rPr>
                <w:rFonts w:ascii="Arial" w:hAnsi="Arial" w:cs="Arial"/>
                <w:sz w:val="20"/>
                <w:szCs w:val="20"/>
              </w:rPr>
              <w:t>Amend table 6.2 to also reference SG10 in relation to woodland.</w:t>
            </w:r>
          </w:p>
        </w:tc>
      </w:tr>
      <w:tr w:rsidR="00B12C56" w:rsidRPr="00F461C2" w14:paraId="0ABD0D9B" w14:textId="77777777" w:rsidTr="002A3EB4">
        <w:tc>
          <w:tcPr>
            <w:tcW w:w="1696" w:type="dxa"/>
            <w:shd w:val="clear" w:color="auto" w:fill="auto"/>
          </w:tcPr>
          <w:p w14:paraId="7CDD245B" w14:textId="77777777" w:rsidR="00B12C56" w:rsidRPr="00F461C2" w:rsidRDefault="00B12C56" w:rsidP="002A3EB4">
            <w:pPr>
              <w:rPr>
                <w:rFonts w:ascii="Arial" w:hAnsi="Arial" w:cs="Arial"/>
                <w:sz w:val="20"/>
                <w:szCs w:val="20"/>
              </w:rPr>
            </w:pPr>
          </w:p>
        </w:tc>
        <w:tc>
          <w:tcPr>
            <w:tcW w:w="1843" w:type="dxa"/>
            <w:shd w:val="clear" w:color="auto" w:fill="auto"/>
          </w:tcPr>
          <w:p w14:paraId="4AC8A25B" w14:textId="77777777" w:rsidR="00B12C56" w:rsidRPr="00F461C2" w:rsidRDefault="00B12C56" w:rsidP="002A3EB4">
            <w:pPr>
              <w:rPr>
                <w:rFonts w:ascii="Arial" w:hAnsi="Arial" w:cs="Arial"/>
                <w:sz w:val="20"/>
                <w:szCs w:val="20"/>
              </w:rPr>
            </w:pPr>
            <w:r w:rsidRPr="00F461C2">
              <w:rPr>
                <w:rFonts w:ascii="Arial" w:hAnsi="Arial" w:cs="Arial"/>
                <w:sz w:val="20"/>
                <w:szCs w:val="20"/>
              </w:rPr>
              <w:t>Various</w:t>
            </w:r>
          </w:p>
        </w:tc>
        <w:tc>
          <w:tcPr>
            <w:tcW w:w="4536" w:type="dxa"/>
            <w:shd w:val="clear" w:color="auto" w:fill="auto"/>
          </w:tcPr>
          <w:p w14:paraId="0E095B19" w14:textId="77777777" w:rsidR="00B12C56" w:rsidRPr="00F461C2" w:rsidRDefault="00B12C56" w:rsidP="002A3EB4">
            <w:pPr>
              <w:rPr>
                <w:rFonts w:ascii="Arial" w:hAnsi="Arial" w:cs="Arial"/>
                <w:sz w:val="20"/>
                <w:szCs w:val="20"/>
              </w:rPr>
            </w:pPr>
            <w:r w:rsidRPr="00F461C2">
              <w:rPr>
                <w:rFonts w:ascii="Arial" w:hAnsi="Arial" w:cs="Arial"/>
                <w:sz w:val="20"/>
                <w:szCs w:val="20"/>
              </w:rPr>
              <w:t>For the most accurate assessment of ancient woodland WTS recommend NatureScot’s (SNH) Ancient Woodland Inventory (AWI) as a guide, alongside:</w:t>
            </w:r>
          </w:p>
          <w:p w14:paraId="17F87FFD" w14:textId="77777777" w:rsidR="00B12C56" w:rsidRPr="00F461C2" w:rsidRDefault="00B12C56" w:rsidP="002A3EB4">
            <w:pPr>
              <w:rPr>
                <w:rFonts w:ascii="Arial" w:hAnsi="Arial" w:cs="Arial"/>
                <w:sz w:val="20"/>
                <w:szCs w:val="20"/>
              </w:rPr>
            </w:pPr>
            <w:r w:rsidRPr="00F461C2">
              <w:rPr>
                <w:rFonts w:ascii="Arial" w:hAnsi="Arial" w:cs="Arial"/>
                <w:sz w:val="20"/>
                <w:szCs w:val="20"/>
              </w:rPr>
              <w:t>-NWSS to identify the location, extent, type and condition of native woodlands within the planning authority area.</w:t>
            </w:r>
          </w:p>
          <w:p w14:paraId="3352BF57" w14:textId="77777777" w:rsidR="00B12C56" w:rsidRPr="00F461C2" w:rsidRDefault="00B12C56" w:rsidP="002A3EB4">
            <w:pPr>
              <w:rPr>
                <w:rFonts w:ascii="Arial" w:hAnsi="Arial" w:cs="Arial"/>
                <w:sz w:val="20"/>
                <w:szCs w:val="20"/>
              </w:rPr>
            </w:pPr>
            <w:r w:rsidRPr="00F461C2">
              <w:rPr>
                <w:rFonts w:ascii="Arial" w:hAnsi="Arial" w:cs="Arial"/>
                <w:sz w:val="20"/>
                <w:szCs w:val="20"/>
              </w:rPr>
              <w:t>-First Edition OS maps from the 1840-60's</w:t>
            </w:r>
          </w:p>
          <w:p w14:paraId="08832973" w14:textId="77777777" w:rsidR="00B12C56" w:rsidRPr="00F461C2" w:rsidRDefault="00B12C56" w:rsidP="002A3EB4">
            <w:pPr>
              <w:rPr>
                <w:rFonts w:ascii="Arial" w:hAnsi="Arial" w:cs="Arial"/>
                <w:sz w:val="20"/>
                <w:szCs w:val="20"/>
              </w:rPr>
            </w:pPr>
            <w:r w:rsidRPr="00F461C2">
              <w:rPr>
                <w:rFonts w:ascii="Arial" w:hAnsi="Arial" w:cs="Arial"/>
                <w:sz w:val="20"/>
                <w:szCs w:val="20"/>
              </w:rPr>
              <w:t>-Tree surveys where additional assessment of the woodland’s antiquity is necessary.</w:t>
            </w:r>
          </w:p>
          <w:p w14:paraId="2AD9E723" w14:textId="77777777" w:rsidR="00B12C56" w:rsidRPr="00F461C2" w:rsidRDefault="00B12C56" w:rsidP="002A3EB4">
            <w:pPr>
              <w:rPr>
                <w:rFonts w:ascii="Arial" w:hAnsi="Arial" w:cs="Arial"/>
                <w:sz w:val="20"/>
                <w:szCs w:val="20"/>
              </w:rPr>
            </w:pPr>
          </w:p>
          <w:p w14:paraId="0484F2B3"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WTS want this wording about using the AWI and the additional digital mapping resources included in paragraphs 4.3, 5.3, </w:t>
            </w:r>
            <w:r w:rsidRPr="00F461C2">
              <w:rPr>
                <w:rFonts w:ascii="Arial" w:hAnsi="Arial" w:cs="Arial"/>
                <w:sz w:val="20"/>
                <w:szCs w:val="20"/>
                <w:lang w:val="en-US"/>
              </w:rPr>
              <w:t>5.4, 5.5 and</w:t>
            </w:r>
          </w:p>
          <w:p w14:paraId="7B5F6D5A" w14:textId="77777777" w:rsidR="00B12C56" w:rsidRPr="00F461C2" w:rsidRDefault="00B12C56" w:rsidP="002A3EB4">
            <w:pPr>
              <w:rPr>
                <w:rFonts w:ascii="Arial" w:hAnsi="Arial" w:cs="Arial"/>
                <w:sz w:val="20"/>
                <w:szCs w:val="20"/>
              </w:rPr>
            </w:pPr>
            <w:r w:rsidRPr="00F461C2">
              <w:rPr>
                <w:rFonts w:ascii="Arial" w:hAnsi="Arial" w:cs="Arial"/>
                <w:sz w:val="20"/>
                <w:szCs w:val="20"/>
                <w:lang w:val="en-US"/>
              </w:rPr>
              <w:t xml:space="preserve">5.6. </w:t>
            </w:r>
          </w:p>
        </w:tc>
        <w:tc>
          <w:tcPr>
            <w:tcW w:w="5528" w:type="dxa"/>
            <w:shd w:val="clear" w:color="auto" w:fill="auto"/>
          </w:tcPr>
          <w:p w14:paraId="16F31BF8" w14:textId="77777777" w:rsidR="00B12C56" w:rsidRPr="00F461C2" w:rsidRDefault="00B12C56" w:rsidP="002A3EB4">
            <w:pPr>
              <w:rPr>
                <w:rFonts w:ascii="Arial" w:hAnsi="Arial" w:cs="Arial"/>
                <w:sz w:val="20"/>
                <w:szCs w:val="20"/>
              </w:rPr>
            </w:pPr>
            <w:r w:rsidRPr="00F461C2">
              <w:rPr>
                <w:rFonts w:ascii="Arial" w:hAnsi="Arial" w:cs="Arial"/>
                <w:sz w:val="20"/>
                <w:szCs w:val="20"/>
              </w:rPr>
              <w:t>Comment partially accepted. The textual references are too detailed.</w:t>
            </w:r>
            <w:r w:rsidRPr="00F461C2">
              <w:rPr>
                <w:rFonts w:ascii="Arial" w:hAnsi="Arial" w:cs="Arial"/>
                <w:color w:val="7030A0"/>
                <w:sz w:val="20"/>
                <w:szCs w:val="20"/>
              </w:rPr>
              <w:t xml:space="preserve"> </w:t>
            </w:r>
            <w:proofErr w:type="gramStart"/>
            <w:r w:rsidRPr="00F461C2">
              <w:rPr>
                <w:rFonts w:ascii="Arial" w:hAnsi="Arial" w:cs="Arial"/>
                <w:sz w:val="20"/>
                <w:szCs w:val="20"/>
              </w:rPr>
              <w:t>However</w:t>
            </w:r>
            <w:proofErr w:type="gramEnd"/>
            <w:r w:rsidRPr="00F461C2">
              <w:rPr>
                <w:rFonts w:ascii="Arial" w:hAnsi="Arial" w:cs="Arial"/>
                <w:sz w:val="20"/>
                <w:szCs w:val="20"/>
              </w:rPr>
              <w:t xml:space="preserve"> the various data references and </w:t>
            </w:r>
          </w:p>
          <w:p w14:paraId="0784BFC1"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The Woodland Trust’s “Planners’ Manual for Ancient Woodland and Veteran </w:t>
            </w:r>
            <w:proofErr w:type="gramStart"/>
            <w:r w:rsidRPr="00F461C2">
              <w:rPr>
                <w:rFonts w:ascii="Arial" w:hAnsi="Arial" w:cs="Arial"/>
                <w:sz w:val="20"/>
                <w:szCs w:val="20"/>
              </w:rPr>
              <w:t>Trees”  will</w:t>
            </w:r>
            <w:proofErr w:type="gramEnd"/>
            <w:r w:rsidRPr="00F461C2">
              <w:rPr>
                <w:rFonts w:ascii="Arial" w:hAnsi="Arial" w:cs="Arial"/>
                <w:sz w:val="20"/>
                <w:szCs w:val="20"/>
              </w:rPr>
              <w:t xml:space="preserve"> be added to Appendix 6 : Further Information</w:t>
            </w:r>
          </w:p>
        </w:tc>
      </w:tr>
      <w:tr w:rsidR="00B12C56" w:rsidRPr="00F461C2" w14:paraId="2732C7FF" w14:textId="77777777" w:rsidTr="002A3EB4">
        <w:tc>
          <w:tcPr>
            <w:tcW w:w="1696" w:type="dxa"/>
            <w:shd w:val="clear" w:color="auto" w:fill="auto"/>
          </w:tcPr>
          <w:p w14:paraId="11BFB985" w14:textId="77777777" w:rsidR="00B12C56" w:rsidRPr="00F461C2" w:rsidRDefault="00B12C56" w:rsidP="002A3EB4">
            <w:pPr>
              <w:rPr>
                <w:rFonts w:ascii="Arial" w:hAnsi="Arial" w:cs="Arial"/>
                <w:sz w:val="20"/>
                <w:szCs w:val="20"/>
              </w:rPr>
            </w:pPr>
          </w:p>
        </w:tc>
        <w:tc>
          <w:tcPr>
            <w:tcW w:w="1843" w:type="dxa"/>
            <w:shd w:val="clear" w:color="auto" w:fill="auto"/>
          </w:tcPr>
          <w:p w14:paraId="033CDE5D" w14:textId="77777777" w:rsidR="00B12C56" w:rsidRPr="00F461C2" w:rsidRDefault="00B12C56" w:rsidP="002A3EB4">
            <w:pPr>
              <w:rPr>
                <w:rFonts w:ascii="Arial" w:hAnsi="Arial" w:cs="Arial"/>
                <w:sz w:val="20"/>
                <w:szCs w:val="20"/>
              </w:rPr>
            </w:pPr>
            <w:r w:rsidRPr="00F461C2">
              <w:rPr>
                <w:rFonts w:ascii="Arial" w:hAnsi="Arial" w:cs="Arial"/>
                <w:sz w:val="20"/>
                <w:szCs w:val="20"/>
              </w:rPr>
              <w:t>Appendix 6</w:t>
            </w:r>
          </w:p>
        </w:tc>
        <w:tc>
          <w:tcPr>
            <w:tcW w:w="4536" w:type="dxa"/>
            <w:shd w:val="clear" w:color="auto" w:fill="auto"/>
          </w:tcPr>
          <w:p w14:paraId="512B4E5B"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Although not a statutory agency, WTS should be added as a contact in relation to advice on native woodland: </w:t>
            </w:r>
          </w:p>
          <w:p w14:paraId="0569D839"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Woodland Trust Scotland, South Inch Business Centre, Shore Road, Perth PH2 8BW, 01738 635544, </w:t>
            </w:r>
            <w:hyperlink r:id="rId14" w:history="1">
              <w:r w:rsidRPr="00F461C2">
                <w:rPr>
                  <w:rStyle w:val="Hyperlink"/>
                  <w:rFonts w:ascii="Arial" w:hAnsi="Arial" w:cs="Arial"/>
                  <w:color w:val="auto"/>
                  <w:sz w:val="20"/>
                  <w:szCs w:val="20"/>
                </w:rPr>
                <w:t>scottishcampaigns@woodlandtrust.org.uk</w:t>
              </w:r>
            </w:hyperlink>
          </w:p>
        </w:tc>
        <w:tc>
          <w:tcPr>
            <w:tcW w:w="5528" w:type="dxa"/>
            <w:shd w:val="clear" w:color="auto" w:fill="auto"/>
          </w:tcPr>
          <w:p w14:paraId="4898C10C" w14:textId="77777777" w:rsidR="00B12C56" w:rsidRPr="00F461C2" w:rsidRDefault="00B12C56" w:rsidP="002A3EB4">
            <w:pPr>
              <w:rPr>
                <w:rFonts w:ascii="Arial" w:hAnsi="Arial" w:cs="Arial"/>
                <w:sz w:val="20"/>
                <w:szCs w:val="20"/>
              </w:rPr>
            </w:pPr>
            <w:r w:rsidRPr="00F461C2">
              <w:rPr>
                <w:rFonts w:ascii="Arial" w:hAnsi="Arial" w:cs="Arial"/>
                <w:sz w:val="20"/>
                <w:szCs w:val="20"/>
              </w:rPr>
              <w:t>Comment accepted. Contact details will be added.</w:t>
            </w:r>
          </w:p>
        </w:tc>
      </w:tr>
      <w:tr w:rsidR="00B12C56" w:rsidRPr="00F461C2" w14:paraId="672BD657" w14:textId="77777777" w:rsidTr="002A3EB4">
        <w:tc>
          <w:tcPr>
            <w:tcW w:w="1696" w:type="dxa"/>
            <w:shd w:val="clear" w:color="auto" w:fill="auto"/>
          </w:tcPr>
          <w:p w14:paraId="622F44EC" w14:textId="77777777" w:rsidR="00B12C56" w:rsidRPr="00F461C2" w:rsidRDefault="00B12C56" w:rsidP="002A3EB4">
            <w:pPr>
              <w:rPr>
                <w:rFonts w:ascii="Arial" w:hAnsi="Arial" w:cs="Arial"/>
                <w:sz w:val="20"/>
                <w:szCs w:val="20"/>
              </w:rPr>
            </w:pPr>
          </w:p>
        </w:tc>
        <w:tc>
          <w:tcPr>
            <w:tcW w:w="1843" w:type="dxa"/>
            <w:shd w:val="clear" w:color="auto" w:fill="auto"/>
          </w:tcPr>
          <w:p w14:paraId="4A73EFEB" w14:textId="77777777" w:rsidR="00B12C56" w:rsidRPr="00F461C2" w:rsidRDefault="00B12C56" w:rsidP="002A3EB4">
            <w:pPr>
              <w:rPr>
                <w:rFonts w:ascii="Arial" w:hAnsi="Arial" w:cs="Arial"/>
                <w:sz w:val="20"/>
                <w:szCs w:val="20"/>
              </w:rPr>
            </w:pPr>
            <w:r w:rsidRPr="00F461C2">
              <w:rPr>
                <w:rFonts w:ascii="Arial" w:hAnsi="Arial" w:cs="Arial"/>
                <w:sz w:val="20"/>
                <w:szCs w:val="20"/>
              </w:rPr>
              <w:t>Appendix 6</w:t>
            </w:r>
          </w:p>
        </w:tc>
        <w:tc>
          <w:tcPr>
            <w:tcW w:w="4536" w:type="dxa"/>
            <w:shd w:val="clear" w:color="auto" w:fill="auto"/>
          </w:tcPr>
          <w:p w14:paraId="5CC7F092" w14:textId="77777777" w:rsidR="00B12C56" w:rsidRPr="00F461C2" w:rsidRDefault="00B12C56" w:rsidP="002A3EB4">
            <w:pPr>
              <w:rPr>
                <w:rFonts w:ascii="Arial" w:hAnsi="Arial" w:cs="Arial"/>
                <w:sz w:val="20"/>
                <w:szCs w:val="20"/>
              </w:rPr>
            </w:pPr>
            <w:r w:rsidRPr="00F461C2">
              <w:rPr>
                <w:rFonts w:ascii="Arial" w:hAnsi="Arial" w:cs="Arial"/>
                <w:sz w:val="20"/>
                <w:szCs w:val="20"/>
              </w:rPr>
              <w:t>Recommend the inclusion of the following publications:</w:t>
            </w:r>
          </w:p>
          <w:p w14:paraId="7D6507F2"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Planners’ Manual for Ancient Woodland and Veteran Trees - Scotland: </w:t>
            </w:r>
            <w:hyperlink r:id="rId15" w:history="1">
              <w:r w:rsidRPr="00F461C2">
                <w:rPr>
                  <w:rStyle w:val="Hyperlink"/>
                  <w:rFonts w:ascii="Arial" w:hAnsi="Arial" w:cs="Arial"/>
                  <w:color w:val="auto"/>
                  <w:sz w:val="20"/>
                  <w:szCs w:val="20"/>
                </w:rPr>
                <w:t>https://www.woodlandtrust.org.uk/publications/2019/07/planners-manual-for-ancient-woodland-and-veteran-trees-scotland/</w:t>
              </w:r>
            </w:hyperlink>
          </w:p>
          <w:p w14:paraId="27EED93C"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Residential Developments and Trees: </w:t>
            </w:r>
            <w:hyperlink r:id="rId16" w:history="1">
              <w:r w:rsidRPr="00F461C2">
                <w:rPr>
                  <w:rStyle w:val="Hyperlink"/>
                  <w:rFonts w:ascii="Arial" w:hAnsi="Arial" w:cs="Arial"/>
                  <w:color w:val="auto"/>
                  <w:sz w:val="20"/>
                  <w:szCs w:val="20"/>
                </w:rPr>
                <w:t>https://www.woodlandtrust.org.uk/media/1688/residential-developments-and-trees.pdf</w:t>
              </w:r>
            </w:hyperlink>
          </w:p>
          <w:p w14:paraId="11109244"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Emergency Tree Plan: </w:t>
            </w:r>
            <w:hyperlink r:id="rId17" w:history="1">
              <w:r w:rsidRPr="00F461C2">
                <w:rPr>
                  <w:rStyle w:val="Hyperlink"/>
                  <w:rFonts w:ascii="Arial" w:hAnsi="Arial" w:cs="Arial"/>
                  <w:color w:val="auto"/>
                  <w:sz w:val="20"/>
                  <w:szCs w:val="20"/>
                </w:rPr>
                <w:t>https://www.woodlandtrust.org.uk/publications/2020/01/emergency-tree-plan/</w:t>
              </w:r>
            </w:hyperlink>
          </w:p>
        </w:tc>
        <w:tc>
          <w:tcPr>
            <w:tcW w:w="5528" w:type="dxa"/>
            <w:shd w:val="clear" w:color="auto" w:fill="auto"/>
          </w:tcPr>
          <w:p w14:paraId="43C7E869" w14:textId="77777777" w:rsidR="00B12C56" w:rsidRPr="00F461C2" w:rsidRDefault="00B12C56" w:rsidP="002A3EB4">
            <w:pPr>
              <w:rPr>
                <w:rFonts w:ascii="Arial" w:hAnsi="Arial" w:cs="Arial"/>
                <w:sz w:val="20"/>
                <w:szCs w:val="20"/>
              </w:rPr>
            </w:pPr>
            <w:r w:rsidRPr="00F461C2">
              <w:rPr>
                <w:rFonts w:ascii="Arial" w:hAnsi="Arial" w:cs="Arial"/>
                <w:sz w:val="20"/>
                <w:szCs w:val="20"/>
              </w:rPr>
              <w:t>Comment accepted. Publications will be added.</w:t>
            </w:r>
          </w:p>
        </w:tc>
      </w:tr>
      <w:tr w:rsidR="00B12C56" w:rsidRPr="00F461C2" w14:paraId="1C86DED9" w14:textId="77777777" w:rsidTr="002A3EB4">
        <w:tc>
          <w:tcPr>
            <w:tcW w:w="1696" w:type="dxa"/>
            <w:shd w:val="clear" w:color="auto" w:fill="auto"/>
          </w:tcPr>
          <w:p w14:paraId="17CAAB6A" w14:textId="77777777" w:rsidR="00B12C56" w:rsidRPr="00F461C2" w:rsidRDefault="00B12C56" w:rsidP="002A3EB4">
            <w:pPr>
              <w:rPr>
                <w:rFonts w:ascii="Arial" w:hAnsi="Arial" w:cs="Arial"/>
                <w:sz w:val="20"/>
                <w:szCs w:val="20"/>
              </w:rPr>
            </w:pPr>
          </w:p>
        </w:tc>
        <w:tc>
          <w:tcPr>
            <w:tcW w:w="1843" w:type="dxa"/>
            <w:shd w:val="clear" w:color="auto" w:fill="auto"/>
          </w:tcPr>
          <w:p w14:paraId="551EB2E2" w14:textId="77777777" w:rsidR="00B12C56" w:rsidRPr="00F461C2" w:rsidRDefault="00B12C56" w:rsidP="002A3EB4">
            <w:pPr>
              <w:rPr>
                <w:rFonts w:ascii="Arial" w:hAnsi="Arial" w:cs="Arial"/>
                <w:sz w:val="20"/>
                <w:szCs w:val="20"/>
              </w:rPr>
            </w:pPr>
            <w:r w:rsidRPr="00F461C2">
              <w:rPr>
                <w:rFonts w:ascii="Arial" w:hAnsi="Arial" w:cs="Arial"/>
                <w:sz w:val="20"/>
                <w:szCs w:val="20"/>
              </w:rPr>
              <w:t>Para 4.3</w:t>
            </w:r>
          </w:p>
        </w:tc>
        <w:tc>
          <w:tcPr>
            <w:tcW w:w="4536" w:type="dxa"/>
            <w:shd w:val="clear" w:color="auto" w:fill="auto"/>
          </w:tcPr>
          <w:p w14:paraId="15C17CD8"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Would like to see Falkirk Council use the data available in the NWSS to help planners and developers to understand the relative value of native woods for biodiversity and other benefits </w:t>
            </w:r>
            <w:proofErr w:type="gramStart"/>
            <w:r w:rsidRPr="00F461C2">
              <w:rPr>
                <w:rFonts w:ascii="Arial" w:hAnsi="Arial" w:cs="Arial"/>
                <w:sz w:val="20"/>
                <w:szCs w:val="20"/>
              </w:rPr>
              <w:t>in order to</w:t>
            </w:r>
            <w:proofErr w:type="gramEnd"/>
            <w:r w:rsidRPr="00F461C2">
              <w:rPr>
                <w:rFonts w:ascii="Arial" w:hAnsi="Arial" w:cs="Arial"/>
                <w:sz w:val="20"/>
                <w:szCs w:val="20"/>
              </w:rPr>
              <w:t xml:space="preserve"> guide planning decisions away from ancient woodland.</w:t>
            </w:r>
          </w:p>
        </w:tc>
        <w:tc>
          <w:tcPr>
            <w:tcW w:w="5528" w:type="dxa"/>
            <w:shd w:val="clear" w:color="auto" w:fill="auto"/>
          </w:tcPr>
          <w:p w14:paraId="3ADF1DCC" w14:textId="77777777" w:rsidR="00B12C56" w:rsidRPr="00F461C2" w:rsidRDefault="00B12C56" w:rsidP="002A3EB4">
            <w:pPr>
              <w:rPr>
                <w:rFonts w:ascii="Arial" w:hAnsi="Arial" w:cs="Arial"/>
                <w:sz w:val="20"/>
                <w:szCs w:val="20"/>
              </w:rPr>
            </w:pPr>
            <w:r w:rsidRPr="00F461C2">
              <w:rPr>
                <w:rFonts w:ascii="Arial" w:hAnsi="Arial" w:cs="Arial"/>
                <w:sz w:val="20"/>
                <w:szCs w:val="20"/>
              </w:rPr>
              <w:t>Comment noted. Falkirk Council staff do have access to the NWSS as well as integrated habitat network data to inform decisions</w:t>
            </w:r>
          </w:p>
        </w:tc>
      </w:tr>
      <w:tr w:rsidR="00B12C56" w:rsidRPr="00F461C2" w14:paraId="3E03F973" w14:textId="77777777" w:rsidTr="002A3EB4">
        <w:tc>
          <w:tcPr>
            <w:tcW w:w="1696" w:type="dxa"/>
            <w:shd w:val="clear" w:color="auto" w:fill="auto"/>
          </w:tcPr>
          <w:p w14:paraId="7D1FE619" w14:textId="77777777" w:rsidR="00B12C56" w:rsidRPr="00F461C2" w:rsidRDefault="00B12C56" w:rsidP="002A3EB4">
            <w:pPr>
              <w:rPr>
                <w:rFonts w:ascii="Arial" w:hAnsi="Arial" w:cs="Arial"/>
                <w:sz w:val="20"/>
                <w:szCs w:val="20"/>
              </w:rPr>
            </w:pPr>
          </w:p>
        </w:tc>
        <w:tc>
          <w:tcPr>
            <w:tcW w:w="1843" w:type="dxa"/>
            <w:shd w:val="clear" w:color="auto" w:fill="auto"/>
          </w:tcPr>
          <w:p w14:paraId="4BCB40EC" w14:textId="77777777" w:rsidR="00B12C56" w:rsidRPr="00F461C2" w:rsidRDefault="00B12C56" w:rsidP="002A3EB4">
            <w:pPr>
              <w:rPr>
                <w:rFonts w:ascii="Arial" w:hAnsi="Arial" w:cs="Arial"/>
                <w:sz w:val="20"/>
                <w:szCs w:val="20"/>
              </w:rPr>
            </w:pPr>
            <w:r w:rsidRPr="00F461C2">
              <w:rPr>
                <w:rFonts w:ascii="Arial" w:hAnsi="Arial" w:cs="Arial"/>
                <w:sz w:val="20"/>
                <w:szCs w:val="20"/>
              </w:rPr>
              <w:t>Para 4.10 / 5.2</w:t>
            </w:r>
          </w:p>
        </w:tc>
        <w:tc>
          <w:tcPr>
            <w:tcW w:w="4536" w:type="dxa"/>
            <w:shd w:val="clear" w:color="auto" w:fill="auto"/>
          </w:tcPr>
          <w:p w14:paraId="4F8670AE" w14:textId="77777777" w:rsidR="00B12C56" w:rsidRPr="00F461C2" w:rsidRDefault="00B12C56" w:rsidP="002A3EB4">
            <w:pPr>
              <w:rPr>
                <w:rFonts w:ascii="Arial" w:hAnsi="Arial" w:cs="Arial"/>
                <w:sz w:val="20"/>
                <w:szCs w:val="20"/>
              </w:rPr>
            </w:pPr>
            <w:r w:rsidRPr="00F461C2">
              <w:rPr>
                <w:rFonts w:ascii="Arial" w:hAnsi="Arial" w:cs="Arial"/>
                <w:sz w:val="20"/>
                <w:szCs w:val="20"/>
              </w:rPr>
              <w:t>Reference to Ancient Tree Inventory (ATI) required.</w:t>
            </w:r>
          </w:p>
          <w:p w14:paraId="739D9FF8" w14:textId="77777777" w:rsidR="00B12C56" w:rsidRPr="00F461C2" w:rsidRDefault="00B12C56" w:rsidP="002A3EB4">
            <w:pPr>
              <w:rPr>
                <w:rFonts w:ascii="Arial" w:hAnsi="Arial" w:cs="Arial"/>
                <w:sz w:val="20"/>
                <w:szCs w:val="20"/>
                <w:lang w:val="en-US"/>
              </w:rPr>
            </w:pPr>
            <w:r w:rsidRPr="00F461C2">
              <w:rPr>
                <w:rFonts w:ascii="Arial" w:hAnsi="Arial" w:cs="Arial"/>
                <w:sz w:val="20"/>
                <w:szCs w:val="20"/>
              </w:rPr>
              <w:t xml:space="preserve">The first step in establishing whether proposed development is likely to impact veteran trees is to refer to the ATI to identify their presence on or near to a proposed development site. </w:t>
            </w:r>
            <w:proofErr w:type="gramStart"/>
            <w:r w:rsidRPr="00F461C2">
              <w:rPr>
                <w:rFonts w:ascii="Arial" w:hAnsi="Arial" w:cs="Arial"/>
                <w:sz w:val="20"/>
                <w:szCs w:val="20"/>
              </w:rPr>
              <w:t>Therefore</w:t>
            </w:r>
            <w:proofErr w:type="gramEnd"/>
            <w:r w:rsidRPr="00F461C2">
              <w:rPr>
                <w:rFonts w:ascii="Arial" w:hAnsi="Arial" w:cs="Arial"/>
                <w:sz w:val="20"/>
                <w:szCs w:val="20"/>
              </w:rPr>
              <w:t xml:space="preserve"> a full tree survey (in accordance with guidance in the BSI Standards</w:t>
            </w:r>
            <w:r w:rsidRPr="00F461C2">
              <w:rPr>
                <w:rFonts w:ascii="Arial" w:hAnsi="Arial" w:cs="Arial"/>
                <w:sz w:val="20"/>
                <w:szCs w:val="20"/>
                <w:lang w:val="en-US"/>
              </w:rPr>
              <w:t xml:space="preserve"> publication BS 5837) is required for development sites.</w:t>
            </w:r>
          </w:p>
          <w:p w14:paraId="010EE85B" w14:textId="77777777" w:rsidR="00B12C56" w:rsidRPr="00F461C2" w:rsidRDefault="00B12C56" w:rsidP="002A3EB4">
            <w:pPr>
              <w:rPr>
                <w:rFonts w:ascii="Arial" w:hAnsi="Arial" w:cs="Arial"/>
                <w:sz w:val="20"/>
                <w:szCs w:val="20"/>
                <w:lang w:val="en-US"/>
              </w:rPr>
            </w:pPr>
          </w:p>
          <w:p w14:paraId="33F496E5" w14:textId="77777777" w:rsidR="00B12C56" w:rsidRPr="00F461C2" w:rsidRDefault="00B12C56" w:rsidP="002A3EB4">
            <w:pPr>
              <w:rPr>
                <w:rFonts w:ascii="Arial" w:hAnsi="Arial" w:cs="Arial"/>
                <w:sz w:val="20"/>
                <w:szCs w:val="20"/>
                <w:lang w:val="en-US"/>
              </w:rPr>
            </w:pPr>
            <w:r w:rsidRPr="00F461C2">
              <w:rPr>
                <w:rFonts w:ascii="Arial" w:hAnsi="Arial" w:cs="Arial"/>
                <w:sz w:val="20"/>
                <w:szCs w:val="20"/>
                <w:lang w:val="en-US"/>
              </w:rPr>
              <w:t>If any trees are identified to be ancient, veteran or mature, these should be added to the ATI. Ancient and veteran trees outside ancient woodland, along with wood-pasture and parkland, should be classified as “A3” according to BS 5837. It is our view that all trees within priority habitat such as ancient woodland would be classified as A3 even if not individually ancient or veteran (including dead trees).</w:t>
            </w:r>
          </w:p>
          <w:p w14:paraId="494D8CA2" w14:textId="77777777" w:rsidR="00B12C56" w:rsidRPr="00F461C2" w:rsidRDefault="00B12C56" w:rsidP="002A3EB4">
            <w:pPr>
              <w:rPr>
                <w:rFonts w:ascii="Arial" w:hAnsi="Arial" w:cs="Arial"/>
                <w:sz w:val="20"/>
                <w:szCs w:val="20"/>
              </w:rPr>
            </w:pPr>
          </w:p>
        </w:tc>
        <w:tc>
          <w:tcPr>
            <w:tcW w:w="5528" w:type="dxa"/>
            <w:shd w:val="clear" w:color="auto" w:fill="auto"/>
          </w:tcPr>
          <w:p w14:paraId="3F190618" w14:textId="77777777" w:rsidR="00B12C56" w:rsidRPr="00F461C2" w:rsidRDefault="00B12C56" w:rsidP="002A3EB4">
            <w:pPr>
              <w:rPr>
                <w:rFonts w:ascii="Arial" w:hAnsi="Arial" w:cs="Arial"/>
                <w:sz w:val="20"/>
                <w:szCs w:val="20"/>
              </w:rPr>
            </w:pPr>
            <w:r w:rsidRPr="00F461C2">
              <w:rPr>
                <w:rFonts w:ascii="Arial" w:hAnsi="Arial" w:cs="Arial"/>
                <w:sz w:val="20"/>
                <w:szCs w:val="20"/>
              </w:rPr>
              <w:t>Comment accepted. Amend text in para 6.2 to indicate the need to check the Ancient Tree Inventory where veteran trees are identified on site.</w:t>
            </w:r>
          </w:p>
          <w:p w14:paraId="3E0BA3C8" w14:textId="77777777" w:rsidR="00B12C56" w:rsidRPr="00F461C2" w:rsidRDefault="00B12C56" w:rsidP="002A3EB4">
            <w:pPr>
              <w:rPr>
                <w:rFonts w:ascii="Arial" w:hAnsi="Arial" w:cs="Arial"/>
                <w:sz w:val="20"/>
                <w:szCs w:val="20"/>
              </w:rPr>
            </w:pPr>
          </w:p>
          <w:p w14:paraId="5F96FA0F" w14:textId="77777777" w:rsidR="00B12C56" w:rsidRPr="00F461C2" w:rsidRDefault="00B12C56" w:rsidP="002A3EB4">
            <w:pPr>
              <w:rPr>
                <w:rFonts w:ascii="Arial" w:hAnsi="Arial" w:cs="Arial"/>
                <w:sz w:val="20"/>
                <w:szCs w:val="20"/>
              </w:rPr>
            </w:pPr>
            <w:r w:rsidRPr="00F461C2">
              <w:rPr>
                <w:rFonts w:ascii="Arial" w:hAnsi="Arial" w:cs="Arial"/>
                <w:sz w:val="20"/>
                <w:szCs w:val="20"/>
              </w:rPr>
              <w:t>Reference will be made to Ancient Tree Inventory in Appendix 6: Further information</w:t>
            </w:r>
          </w:p>
        </w:tc>
      </w:tr>
      <w:tr w:rsidR="00B12C56" w:rsidRPr="00F461C2" w14:paraId="7D24FFA9" w14:textId="77777777" w:rsidTr="002A3EB4">
        <w:tc>
          <w:tcPr>
            <w:tcW w:w="1696" w:type="dxa"/>
            <w:shd w:val="clear" w:color="auto" w:fill="auto"/>
          </w:tcPr>
          <w:p w14:paraId="39858F1D" w14:textId="77777777" w:rsidR="00B12C56" w:rsidRPr="00F461C2" w:rsidRDefault="00B12C56" w:rsidP="002A3EB4">
            <w:pPr>
              <w:rPr>
                <w:rFonts w:ascii="Arial" w:hAnsi="Arial" w:cs="Arial"/>
                <w:sz w:val="20"/>
                <w:szCs w:val="20"/>
              </w:rPr>
            </w:pPr>
          </w:p>
        </w:tc>
        <w:tc>
          <w:tcPr>
            <w:tcW w:w="1843" w:type="dxa"/>
            <w:shd w:val="clear" w:color="auto" w:fill="auto"/>
          </w:tcPr>
          <w:p w14:paraId="53D0194F" w14:textId="77777777" w:rsidR="00B12C56" w:rsidRPr="00F461C2" w:rsidRDefault="00B12C56" w:rsidP="002A3EB4">
            <w:pPr>
              <w:rPr>
                <w:rFonts w:ascii="Arial" w:hAnsi="Arial" w:cs="Arial"/>
                <w:sz w:val="20"/>
                <w:szCs w:val="20"/>
              </w:rPr>
            </w:pPr>
            <w:r w:rsidRPr="00F461C2">
              <w:rPr>
                <w:rFonts w:ascii="Arial" w:hAnsi="Arial" w:cs="Arial"/>
                <w:sz w:val="20"/>
                <w:szCs w:val="20"/>
              </w:rPr>
              <w:t>Paras 2.21 / 4.23 / 4.25</w:t>
            </w:r>
          </w:p>
          <w:p w14:paraId="7167DA5E" w14:textId="77777777" w:rsidR="00B12C56" w:rsidRPr="00F461C2" w:rsidRDefault="00B12C56" w:rsidP="002A3EB4">
            <w:pPr>
              <w:rPr>
                <w:rFonts w:ascii="Arial" w:hAnsi="Arial" w:cs="Arial"/>
                <w:sz w:val="20"/>
                <w:szCs w:val="20"/>
              </w:rPr>
            </w:pPr>
          </w:p>
        </w:tc>
        <w:tc>
          <w:tcPr>
            <w:tcW w:w="4536" w:type="dxa"/>
            <w:shd w:val="clear" w:color="auto" w:fill="auto"/>
          </w:tcPr>
          <w:p w14:paraId="38312CDA"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WTS would like to see the inclusion of a requirement for a buffer around ancient woodland adjacent to development sites. </w:t>
            </w:r>
            <w:r w:rsidRPr="00F461C2">
              <w:rPr>
                <w:rFonts w:ascii="Arial" w:hAnsi="Arial" w:cs="Arial"/>
                <w:sz w:val="20"/>
                <w:szCs w:val="20"/>
              </w:rPr>
              <w:lastRenderedPageBreak/>
              <w:t xml:space="preserve">Damage and impacts posed to ancient woods by adjacent developments, are not widely appreciated. The cumulative effect of development is more damaging to ancient woodland than individual effects which should not be considered in isolation. </w:t>
            </w:r>
          </w:p>
        </w:tc>
        <w:tc>
          <w:tcPr>
            <w:tcW w:w="5528" w:type="dxa"/>
            <w:shd w:val="clear" w:color="auto" w:fill="auto"/>
          </w:tcPr>
          <w:p w14:paraId="519285D4" w14:textId="77777777" w:rsidR="00B12C56" w:rsidRPr="00F461C2" w:rsidRDefault="00B12C56" w:rsidP="002A3EB4">
            <w:pPr>
              <w:rPr>
                <w:rFonts w:ascii="Arial" w:hAnsi="Arial" w:cs="Arial"/>
                <w:sz w:val="20"/>
                <w:szCs w:val="20"/>
              </w:rPr>
            </w:pPr>
            <w:r w:rsidRPr="00F461C2">
              <w:rPr>
                <w:rFonts w:ascii="Arial" w:hAnsi="Arial" w:cs="Arial"/>
                <w:sz w:val="20"/>
                <w:szCs w:val="20"/>
              </w:rPr>
              <w:lastRenderedPageBreak/>
              <w:t xml:space="preserve">Comment noted. The SG already references the need for buffer zones around ecological features in para 4.21. </w:t>
            </w:r>
            <w:r w:rsidRPr="00F461C2">
              <w:rPr>
                <w:rFonts w:ascii="Arial" w:hAnsi="Arial" w:cs="Arial"/>
                <w:sz w:val="20"/>
                <w:szCs w:val="20"/>
              </w:rPr>
              <w:lastRenderedPageBreak/>
              <w:t>Detailed guidance on tree buffers and root protection zones is provided in G10 ‘Trees and Development’.</w:t>
            </w:r>
          </w:p>
        </w:tc>
      </w:tr>
      <w:tr w:rsidR="00B12C56" w:rsidRPr="00F461C2" w14:paraId="2AD3F8CB" w14:textId="77777777" w:rsidTr="002A3EB4">
        <w:tc>
          <w:tcPr>
            <w:tcW w:w="1696" w:type="dxa"/>
            <w:shd w:val="clear" w:color="auto" w:fill="auto"/>
          </w:tcPr>
          <w:p w14:paraId="0F70FAF2" w14:textId="77777777" w:rsidR="00B12C56" w:rsidRPr="00F461C2" w:rsidRDefault="00B12C56" w:rsidP="002A3EB4">
            <w:pPr>
              <w:rPr>
                <w:rFonts w:ascii="Arial" w:hAnsi="Arial" w:cs="Arial"/>
                <w:sz w:val="20"/>
                <w:szCs w:val="20"/>
              </w:rPr>
            </w:pPr>
          </w:p>
        </w:tc>
        <w:tc>
          <w:tcPr>
            <w:tcW w:w="1843" w:type="dxa"/>
            <w:shd w:val="clear" w:color="auto" w:fill="auto"/>
          </w:tcPr>
          <w:p w14:paraId="7C57D5D3" w14:textId="77777777" w:rsidR="00B12C56" w:rsidRPr="00F461C2" w:rsidRDefault="00B12C56" w:rsidP="002A3EB4">
            <w:pPr>
              <w:rPr>
                <w:rFonts w:ascii="Arial" w:hAnsi="Arial" w:cs="Arial"/>
                <w:sz w:val="20"/>
                <w:szCs w:val="20"/>
              </w:rPr>
            </w:pPr>
            <w:r w:rsidRPr="00F461C2">
              <w:rPr>
                <w:rFonts w:ascii="Arial" w:hAnsi="Arial" w:cs="Arial"/>
                <w:sz w:val="20"/>
                <w:szCs w:val="20"/>
              </w:rPr>
              <w:t>Para 4.23</w:t>
            </w:r>
          </w:p>
        </w:tc>
        <w:tc>
          <w:tcPr>
            <w:tcW w:w="4536" w:type="dxa"/>
            <w:shd w:val="clear" w:color="auto" w:fill="auto"/>
          </w:tcPr>
          <w:p w14:paraId="50B2FD88"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WTS would like to see a policy that schemes source trees sourced and grown in the UK, to support local nurseries and help avoid the spread of disease. </w:t>
            </w:r>
            <w:proofErr w:type="gramStart"/>
            <w:r w:rsidRPr="00F461C2">
              <w:rPr>
                <w:rFonts w:ascii="Arial" w:hAnsi="Arial" w:cs="Arial"/>
                <w:sz w:val="20"/>
                <w:szCs w:val="20"/>
              </w:rPr>
              <w:t>Also</w:t>
            </w:r>
            <w:proofErr w:type="gramEnd"/>
            <w:r w:rsidRPr="00F461C2">
              <w:rPr>
                <w:rFonts w:ascii="Arial" w:hAnsi="Arial" w:cs="Arial"/>
                <w:sz w:val="20"/>
                <w:szCs w:val="20"/>
              </w:rPr>
              <w:t xml:space="preserve"> would like a policy that tree species will be native, diverse and appropriate to the local ecology (acknowledging exceptions where other species may be more appropriate in urban environments).</w:t>
            </w:r>
          </w:p>
        </w:tc>
        <w:tc>
          <w:tcPr>
            <w:tcW w:w="5528" w:type="dxa"/>
            <w:shd w:val="clear" w:color="auto" w:fill="auto"/>
          </w:tcPr>
          <w:p w14:paraId="7DB52A3C" w14:textId="77777777" w:rsidR="00B12C56" w:rsidRPr="00F461C2" w:rsidRDefault="00B12C56" w:rsidP="002A3EB4">
            <w:pPr>
              <w:rPr>
                <w:rFonts w:ascii="Arial" w:hAnsi="Arial" w:cs="Arial"/>
                <w:sz w:val="20"/>
                <w:szCs w:val="20"/>
              </w:rPr>
            </w:pPr>
            <w:r w:rsidRPr="00F461C2">
              <w:rPr>
                <w:rFonts w:ascii="Arial" w:hAnsi="Arial" w:cs="Arial"/>
                <w:sz w:val="20"/>
                <w:szCs w:val="20"/>
              </w:rPr>
              <w:t>Comment noted.  Para 4.23 states: ‘Where possible native species should be used in planting schemes -</w:t>
            </w:r>
            <w:proofErr w:type="gramStart"/>
            <w:r w:rsidRPr="00F461C2">
              <w:rPr>
                <w:rFonts w:ascii="Arial" w:hAnsi="Arial" w:cs="Arial"/>
                <w:sz w:val="20"/>
                <w:szCs w:val="20"/>
              </w:rPr>
              <w:t>…..</w:t>
            </w:r>
            <w:proofErr w:type="gramEnd"/>
            <w:r w:rsidRPr="00F461C2">
              <w:rPr>
                <w:rFonts w:ascii="Arial" w:hAnsi="Arial" w:cs="Arial"/>
                <w:sz w:val="20"/>
                <w:szCs w:val="20"/>
              </w:rPr>
              <w:t xml:space="preserve"> However, carefully selected horticultural varieties and</w:t>
            </w:r>
          </w:p>
          <w:p w14:paraId="2A224C37" w14:textId="77777777" w:rsidR="00B12C56" w:rsidRPr="00F461C2" w:rsidRDefault="00B12C56" w:rsidP="002A3EB4">
            <w:pPr>
              <w:rPr>
                <w:rFonts w:ascii="Arial" w:hAnsi="Arial" w:cs="Arial"/>
                <w:sz w:val="20"/>
                <w:szCs w:val="20"/>
              </w:rPr>
            </w:pPr>
            <w:r w:rsidRPr="00F461C2">
              <w:rPr>
                <w:rFonts w:ascii="Arial" w:hAnsi="Arial" w:cs="Arial"/>
                <w:sz w:val="20"/>
                <w:szCs w:val="20"/>
              </w:rPr>
              <w:t>structural planting can also offer wildlife benefits.’</w:t>
            </w:r>
          </w:p>
          <w:p w14:paraId="00D29CBF" w14:textId="77777777" w:rsidR="00B12C56" w:rsidRPr="00F461C2" w:rsidRDefault="00B12C56" w:rsidP="002A3EB4">
            <w:pPr>
              <w:rPr>
                <w:rFonts w:ascii="Arial" w:hAnsi="Arial" w:cs="Arial"/>
                <w:sz w:val="20"/>
                <w:szCs w:val="20"/>
              </w:rPr>
            </w:pPr>
          </w:p>
        </w:tc>
      </w:tr>
      <w:tr w:rsidR="00B12C56" w:rsidRPr="00F461C2" w14:paraId="5BE61F4E" w14:textId="77777777" w:rsidTr="002A3EB4">
        <w:tc>
          <w:tcPr>
            <w:tcW w:w="1696" w:type="dxa"/>
            <w:shd w:val="clear" w:color="auto" w:fill="auto"/>
          </w:tcPr>
          <w:p w14:paraId="20FC6070" w14:textId="77777777" w:rsidR="00B12C56" w:rsidRPr="00F461C2" w:rsidRDefault="00B12C56" w:rsidP="002A3EB4">
            <w:pPr>
              <w:rPr>
                <w:rFonts w:ascii="Arial" w:hAnsi="Arial" w:cs="Arial"/>
                <w:sz w:val="20"/>
                <w:szCs w:val="20"/>
              </w:rPr>
            </w:pPr>
          </w:p>
        </w:tc>
        <w:tc>
          <w:tcPr>
            <w:tcW w:w="1843" w:type="dxa"/>
            <w:shd w:val="clear" w:color="auto" w:fill="auto"/>
          </w:tcPr>
          <w:p w14:paraId="0D0C5BC1" w14:textId="77777777" w:rsidR="00B12C56" w:rsidRPr="00F461C2" w:rsidRDefault="00B12C56" w:rsidP="002A3EB4">
            <w:pPr>
              <w:rPr>
                <w:rFonts w:ascii="Arial" w:hAnsi="Arial" w:cs="Arial"/>
                <w:sz w:val="20"/>
                <w:szCs w:val="20"/>
              </w:rPr>
            </w:pPr>
            <w:r w:rsidRPr="00F461C2">
              <w:rPr>
                <w:rFonts w:ascii="Arial" w:hAnsi="Arial" w:cs="Arial"/>
                <w:sz w:val="20"/>
                <w:szCs w:val="20"/>
              </w:rPr>
              <w:t>Para 4.25</w:t>
            </w:r>
          </w:p>
        </w:tc>
        <w:tc>
          <w:tcPr>
            <w:tcW w:w="4536" w:type="dxa"/>
            <w:shd w:val="clear" w:color="auto" w:fill="auto"/>
          </w:tcPr>
          <w:p w14:paraId="2E28B9A4" w14:textId="77777777" w:rsidR="00B12C56" w:rsidRPr="00F461C2" w:rsidRDefault="00B12C56" w:rsidP="002A3EB4">
            <w:pPr>
              <w:rPr>
                <w:rFonts w:ascii="Arial" w:hAnsi="Arial" w:cs="Arial"/>
                <w:sz w:val="20"/>
                <w:szCs w:val="20"/>
              </w:rPr>
            </w:pPr>
            <w:r w:rsidRPr="00F461C2">
              <w:rPr>
                <w:rFonts w:ascii="Arial" w:hAnsi="Arial" w:cs="Arial"/>
                <w:sz w:val="20"/>
                <w:szCs w:val="20"/>
              </w:rPr>
              <w:t xml:space="preserve">WTS are pleased that translocation should ‘only be considered as a last resort’. </w:t>
            </w:r>
            <w:proofErr w:type="gramStart"/>
            <w:r w:rsidRPr="00F461C2">
              <w:rPr>
                <w:rFonts w:ascii="Arial" w:hAnsi="Arial" w:cs="Arial"/>
                <w:bCs/>
                <w:sz w:val="20"/>
                <w:szCs w:val="20"/>
                <w:lang w:val="en-US"/>
              </w:rPr>
              <w:t>However</w:t>
            </w:r>
            <w:proofErr w:type="gramEnd"/>
            <w:r w:rsidRPr="00F461C2">
              <w:rPr>
                <w:rFonts w:ascii="Arial" w:hAnsi="Arial" w:cs="Arial"/>
                <w:bCs/>
                <w:sz w:val="20"/>
                <w:szCs w:val="20"/>
                <w:lang w:val="en-US"/>
              </w:rPr>
              <w:t xml:space="preserve"> urge that the following provision be included: “</w:t>
            </w:r>
            <w:r w:rsidRPr="00F461C2">
              <w:rPr>
                <w:rFonts w:ascii="Arial" w:hAnsi="Arial" w:cs="Arial"/>
                <w:i/>
                <w:sz w:val="20"/>
                <w:szCs w:val="20"/>
                <w:lang w:val="en-US"/>
              </w:rPr>
              <w:t>Translocation cannot be viewed as mitigation for ancient woodland loss, since the latter is irreplaceable</w:t>
            </w:r>
            <w:r w:rsidRPr="00F461C2">
              <w:rPr>
                <w:rFonts w:ascii="Arial" w:hAnsi="Arial" w:cs="Arial"/>
                <w:sz w:val="20"/>
                <w:szCs w:val="20"/>
                <w:lang w:val="en-US"/>
              </w:rPr>
              <w:t xml:space="preserve">”. </w:t>
            </w:r>
            <w:r w:rsidRPr="00F461C2">
              <w:rPr>
                <w:rFonts w:ascii="Arial" w:hAnsi="Arial" w:cs="Arial"/>
                <w:sz w:val="20"/>
                <w:szCs w:val="20"/>
              </w:rPr>
              <w:t xml:space="preserve">WTS advocates no further loss of ancient woodland, and believes translocation is not an appropriate alternative to conservation of an ancient woodland in situ. </w:t>
            </w:r>
          </w:p>
        </w:tc>
        <w:tc>
          <w:tcPr>
            <w:tcW w:w="5528" w:type="dxa"/>
            <w:shd w:val="clear" w:color="auto" w:fill="auto"/>
          </w:tcPr>
          <w:p w14:paraId="6B66A573" w14:textId="77777777" w:rsidR="00B12C56" w:rsidRPr="00F461C2" w:rsidRDefault="00B12C56" w:rsidP="002A3EB4">
            <w:pPr>
              <w:rPr>
                <w:rFonts w:ascii="Arial" w:hAnsi="Arial" w:cs="Arial"/>
                <w:sz w:val="20"/>
                <w:szCs w:val="20"/>
              </w:rPr>
            </w:pPr>
            <w:r w:rsidRPr="00F461C2">
              <w:rPr>
                <w:rFonts w:ascii="Arial" w:hAnsi="Arial" w:cs="Arial"/>
                <w:sz w:val="20"/>
                <w:szCs w:val="20"/>
              </w:rPr>
              <w:t>Comment accepted. Add text to para 4.25 as follows: ‘Translocation cannot be viewed as mitigation for the loss of irreplaceable habitats such as ancient woodland.’</w:t>
            </w:r>
          </w:p>
        </w:tc>
      </w:tr>
      <w:tr w:rsidR="00B12C56" w:rsidRPr="00F461C2" w14:paraId="35207E01" w14:textId="77777777" w:rsidTr="002A3EB4">
        <w:tc>
          <w:tcPr>
            <w:tcW w:w="1696" w:type="dxa"/>
            <w:shd w:val="clear" w:color="auto" w:fill="auto"/>
          </w:tcPr>
          <w:p w14:paraId="264BD292" w14:textId="77777777" w:rsidR="00B12C56" w:rsidRPr="00F461C2" w:rsidRDefault="00B12C56" w:rsidP="002A3EB4">
            <w:pPr>
              <w:rPr>
                <w:rFonts w:ascii="Arial" w:hAnsi="Arial" w:cs="Arial"/>
                <w:sz w:val="20"/>
                <w:szCs w:val="20"/>
              </w:rPr>
            </w:pPr>
          </w:p>
        </w:tc>
        <w:tc>
          <w:tcPr>
            <w:tcW w:w="1843" w:type="dxa"/>
            <w:shd w:val="clear" w:color="auto" w:fill="auto"/>
          </w:tcPr>
          <w:p w14:paraId="45D9FFB5" w14:textId="77777777" w:rsidR="00B12C56" w:rsidRPr="00F461C2" w:rsidRDefault="00B12C56" w:rsidP="002A3EB4">
            <w:pPr>
              <w:rPr>
                <w:rFonts w:ascii="Arial" w:hAnsi="Arial" w:cs="Arial"/>
                <w:sz w:val="20"/>
                <w:szCs w:val="20"/>
              </w:rPr>
            </w:pPr>
            <w:r w:rsidRPr="00F461C2">
              <w:rPr>
                <w:rFonts w:ascii="Arial" w:hAnsi="Arial" w:cs="Arial"/>
                <w:sz w:val="20"/>
                <w:szCs w:val="20"/>
              </w:rPr>
              <w:t>Para 4.26</w:t>
            </w:r>
          </w:p>
        </w:tc>
        <w:tc>
          <w:tcPr>
            <w:tcW w:w="4536" w:type="dxa"/>
            <w:shd w:val="clear" w:color="auto" w:fill="auto"/>
          </w:tcPr>
          <w:p w14:paraId="5733A655" w14:textId="77777777" w:rsidR="00B12C56" w:rsidRPr="00F461C2" w:rsidRDefault="00B12C56" w:rsidP="002A3EB4">
            <w:pPr>
              <w:rPr>
                <w:rFonts w:ascii="Arial" w:hAnsi="Arial" w:cs="Arial"/>
                <w:sz w:val="20"/>
                <w:szCs w:val="20"/>
              </w:rPr>
            </w:pPr>
            <w:r w:rsidRPr="00F461C2">
              <w:rPr>
                <w:rFonts w:ascii="Arial" w:hAnsi="Arial" w:cs="Arial"/>
                <w:sz w:val="20"/>
                <w:szCs w:val="20"/>
              </w:rPr>
              <w:t>WTS would welcome the acknowledgement that the loss of even individual trees and small woods, albeit gradually, has a high impact on natural heritage and biodiversity. The planning authority should seek ways to reverse the fragmentation of habitats.</w:t>
            </w:r>
          </w:p>
        </w:tc>
        <w:tc>
          <w:tcPr>
            <w:tcW w:w="5528" w:type="dxa"/>
            <w:shd w:val="clear" w:color="auto" w:fill="auto"/>
          </w:tcPr>
          <w:p w14:paraId="7380F413" w14:textId="77777777" w:rsidR="00B12C56" w:rsidRPr="00F461C2" w:rsidRDefault="00B12C56" w:rsidP="002A3EB4">
            <w:pPr>
              <w:rPr>
                <w:rFonts w:ascii="Arial" w:hAnsi="Arial" w:cs="Arial"/>
                <w:sz w:val="20"/>
                <w:szCs w:val="20"/>
              </w:rPr>
            </w:pPr>
            <w:r w:rsidRPr="00F461C2">
              <w:rPr>
                <w:rFonts w:ascii="Arial" w:hAnsi="Arial" w:cs="Arial"/>
                <w:sz w:val="20"/>
                <w:szCs w:val="20"/>
              </w:rPr>
              <w:t>Comment noted. The SG already covers the issue of habitat fragmentation in its biodiversity checklists.</w:t>
            </w:r>
          </w:p>
        </w:tc>
      </w:tr>
    </w:tbl>
    <w:p w14:paraId="3A8EC501" w14:textId="77777777" w:rsidR="00B12C56" w:rsidRPr="00F461C2" w:rsidRDefault="00B12C56" w:rsidP="00B12C56">
      <w:pPr>
        <w:rPr>
          <w:rFonts w:ascii="Arial" w:hAnsi="Arial" w:cs="Arial"/>
          <w:sz w:val="20"/>
          <w:szCs w:val="20"/>
        </w:rPr>
      </w:pPr>
    </w:p>
    <w:p w14:paraId="12288CA3" w14:textId="77777777" w:rsidR="00B12C56" w:rsidRPr="00F461C2" w:rsidRDefault="00B12C56" w:rsidP="00B12C56">
      <w:pPr>
        <w:rPr>
          <w:rFonts w:ascii="Arial" w:hAnsi="Arial" w:cs="Arial"/>
          <w:sz w:val="20"/>
          <w:szCs w:val="20"/>
        </w:rPr>
      </w:pPr>
    </w:p>
    <w:p w14:paraId="38A7F174" w14:textId="77777777" w:rsidR="00B12C56" w:rsidRPr="00F461C2" w:rsidRDefault="00B12C56" w:rsidP="0066562F">
      <w:pPr>
        <w:rPr>
          <w:rFonts w:ascii="Arial" w:hAnsi="Arial" w:cs="Arial"/>
          <w:sz w:val="20"/>
          <w:szCs w:val="20"/>
        </w:rPr>
      </w:pPr>
    </w:p>
    <w:p w14:paraId="1DE6B760" w14:textId="77777777" w:rsidR="0066562F" w:rsidRPr="00F461C2" w:rsidRDefault="0066562F" w:rsidP="0066562F">
      <w:pPr>
        <w:rPr>
          <w:rFonts w:ascii="Arial" w:hAnsi="Arial" w:cs="Arial"/>
          <w:b/>
          <w:sz w:val="22"/>
          <w:szCs w:val="22"/>
        </w:rPr>
      </w:pPr>
      <w:r w:rsidRPr="00F461C2">
        <w:rPr>
          <w:rFonts w:ascii="Arial" w:hAnsi="Arial" w:cs="Arial"/>
          <w:b/>
          <w:sz w:val="22"/>
          <w:szCs w:val="22"/>
        </w:rPr>
        <w:t xml:space="preserve">SG13 Developer Contributions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4678"/>
        <w:gridCol w:w="6095"/>
      </w:tblGrid>
      <w:tr w:rsidR="0066562F" w:rsidRPr="00F461C2" w14:paraId="6756EE5C" w14:textId="77777777" w:rsidTr="0010511E">
        <w:tc>
          <w:tcPr>
            <w:tcW w:w="1696" w:type="dxa"/>
            <w:tcBorders>
              <w:top w:val="single" w:sz="4" w:space="0" w:color="auto"/>
              <w:left w:val="single" w:sz="4" w:space="0" w:color="auto"/>
              <w:bottom w:val="single" w:sz="4" w:space="0" w:color="auto"/>
              <w:right w:val="single" w:sz="4" w:space="0" w:color="auto"/>
            </w:tcBorders>
            <w:shd w:val="clear" w:color="auto" w:fill="BFBFBF"/>
            <w:hideMark/>
          </w:tcPr>
          <w:p w14:paraId="3715953F" w14:textId="77777777" w:rsidR="0066562F" w:rsidRPr="00F461C2" w:rsidRDefault="0066562F" w:rsidP="0010511E">
            <w:pPr>
              <w:rPr>
                <w:rFonts w:ascii="Arial" w:hAnsi="Arial" w:cs="Arial"/>
                <w:sz w:val="20"/>
                <w:szCs w:val="20"/>
              </w:rPr>
            </w:pPr>
            <w:r w:rsidRPr="00F461C2">
              <w:rPr>
                <w:rFonts w:ascii="Arial" w:hAnsi="Arial" w:cs="Arial"/>
                <w:sz w:val="20"/>
                <w:szCs w:val="20"/>
              </w:rPr>
              <w:t>Organisation</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520B74A4" w14:textId="77777777" w:rsidR="0066562F" w:rsidRPr="00F461C2" w:rsidRDefault="0066562F" w:rsidP="0010511E">
            <w:pPr>
              <w:rPr>
                <w:rFonts w:ascii="Arial" w:hAnsi="Arial" w:cs="Arial"/>
                <w:sz w:val="20"/>
                <w:szCs w:val="20"/>
              </w:rPr>
            </w:pPr>
            <w:r w:rsidRPr="00F461C2">
              <w:rPr>
                <w:rFonts w:ascii="Arial" w:hAnsi="Arial" w:cs="Arial"/>
                <w:sz w:val="20"/>
                <w:szCs w:val="20"/>
              </w:rPr>
              <w:t>Para/Section</w:t>
            </w:r>
          </w:p>
        </w:tc>
        <w:tc>
          <w:tcPr>
            <w:tcW w:w="4678" w:type="dxa"/>
            <w:tcBorders>
              <w:top w:val="single" w:sz="4" w:space="0" w:color="auto"/>
              <w:left w:val="single" w:sz="4" w:space="0" w:color="auto"/>
              <w:bottom w:val="single" w:sz="4" w:space="0" w:color="auto"/>
              <w:right w:val="single" w:sz="4" w:space="0" w:color="auto"/>
            </w:tcBorders>
            <w:shd w:val="clear" w:color="auto" w:fill="BFBFBF"/>
            <w:hideMark/>
          </w:tcPr>
          <w:p w14:paraId="1C86A0DB" w14:textId="77777777" w:rsidR="0066562F" w:rsidRPr="00F461C2" w:rsidRDefault="0066562F" w:rsidP="0010511E">
            <w:pPr>
              <w:rPr>
                <w:rFonts w:ascii="Arial" w:hAnsi="Arial" w:cs="Arial"/>
                <w:sz w:val="20"/>
                <w:szCs w:val="20"/>
              </w:rPr>
            </w:pPr>
            <w:r w:rsidRPr="00F461C2">
              <w:rPr>
                <w:rFonts w:ascii="Arial" w:hAnsi="Arial" w:cs="Arial"/>
                <w:sz w:val="20"/>
                <w:szCs w:val="20"/>
              </w:rPr>
              <w:t>Comment</w:t>
            </w:r>
          </w:p>
        </w:tc>
        <w:tc>
          <w:tcPr>
            <w:tcW w:w="6095" w:type="dxa"/>
            <w:tcBorders>
              <w:top w:val="single" w:sz="4" w:space="0" w:color="auto"/>
              <w:left w:val="single" w:sz="4" w:space="0" w:color="auto"/>
              <w:bottom w:val="single" w:sz="4" w:space="0" w:color="auto"/>
              <w:right w:val="single" w:sz="4" w:space="0" w:color="auto"/>
            </w:tcBorders>
            <w:shd w:val="clear" w:color="auto" w:fill="BFBFBF"/>
            <w:hideMark/>
          </w:tcPr>
          <w:p w14:paraId="73D5ACE6" w14:textId="77777777" w:rsidR="0066562F" w:rsidRPr="00F461C2" w:rsidRDefault="0066562F" w:rsidP="0010511E">
            <w:pPr>
              <w:rPr>
                <w:rFonts w:ascii="Arial" w:hAnsi="Arial" w:cs="Arial"/>
                <w:sz w:val="20"/>
                <w:szCs w:val="20"/>
              </w:rPr>
            </w:pPr>
            <w:r w:rsidRPr="00F461C2">
              <w:rPr>
                <w:rFonts w:ascii="Arial" w:hAnsi="Arial" w:cs="Arial"/>
                <w:sz w:val="20"/>
                <w:szCs w:val="20"/>
              </w:rPr>
              <w:t>Response</w:t>
            </w:r>
          </w:p>
        </w:tc>
      </w:tr>
      <w:tr w:rsidR="0066562F" w:rsidRPr="00F461C2" w14:paraId="203CC1E7" w14:textId="77777777" w:rsidTr="0010511E">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0D03348A" w14:textId="77777777" w:rsidR="0066562F" w:rsidRPr="00F461C2" w:rsidRDefault="0066562F" w:rsidP="0010511E">
            <w:pPr>
              <w:rPr>
                <w:rFonts w:ascii="Arial" w:hAnsi="Arial" w:cs="Arial"/>
                <w:sz w:val="20"/>
                <w:szCs w:val="20"/>
              </w:rPr>
            </w:pPr>
            <w:r w:rsidRPr="00F461C2">
              <w:rPr>
                <w:rFonts w:ascii="Arial" w:hAnsi="Arial" w:cs="Arial"/>
                <w:sz w:val="20"/>
                <w:szCs w:val="20"/>
              </w:rPr>
              <w:t>Corporate and Housing Services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F0341F0" w14:textId="77777777" w:rsidR="0066562F" w:rsidRPr="00F461C2" w:rsidRDefault="0066562F" w:rsidP="0010511E">
            <w:pPr>
              <w:rPr>
                <w:rFonts w:ascii="Arial" w:hAnsi="Arial" w:cs="Arial"/>
                <w:sz w:val="20"/>
                <w:szCs w:val="20"/>
              </w:rPr>
            </w:pPr>
            <w:r w:rsidRPr="00F461C2">
              <w:rPr>
                <w:rFonts w:ascii="Arial" w:hAnsi="Arial" w:cs="Arial"/>
                <w:sz w:val="20"/>
                <w:szCs w:val="20"/>
              </w:rPr>
              <w:t>General comments regarding affordable housing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B0569AE"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Affordable housing projects should be exempt from developer contributions. The costs of contributions are negatively impacting on the viability of new affordable housing and cannot be met by rental income or by Scottish Government grant funding. We question the need for contributions all together given most new tenants in affordable housing are existing </w:t>
            </w:r>
            <w:proofErr w:type="gramStart"/>
            <w:r w:rsidRPr="00F461C2">
              <w:rPr>
                <w:rFonts w:ascii="Arial" w:hAnsi="Arial" w:cs="Arial"/>
                <w:sz w:val="20"/>
                <w:szCs w:val="20"/>
              </w:rPr>
              <w:t>local residents</w:t>
            </w:r>
            <w:proofErr w:type="gramEnd"/>
            <w:r w:rsidRPr="00F461C2">
              <w:rPr>
                <w:rFonts w:ascii="Arial" w:hAnsi="Arial" w:cs="Arial"/>
                <w:sz w:val="20"/>
                <w:szCs w:val="20"/>
              </w:rPr>
              <w:t xml:space="preserve"> </w:t>
            </w:r>
            <w:r w:rsidRPr="00F461C2">
              <w:rPr>
                <w:rFonts w:ascii="Arial" w:hAnsi="Arial" w:cs="Arial"/>
                <w:sz w:val="20"/>
                <w:szCs w:val="20"/>
              </w:rPr>
              <w:lastRenderedPageBreak/>
              <w:t xml:space="preserve">and already paying for local services through council tax and rent. </w:t>
            </w:r>
          </w:p>
          <w:p w14:paraId="29B41BB8" w14:textId="77777777" w:rsidR="0066562F" w:rsidRPr="00F461C2" w:rsidRDefault="0066562F" w:rsidP="0010511E">
            <w:pPr>
              <w:rPr>
                <w:rFonts w:ascii="Arial" w:hAnsi="Arial" w:cs="Arial"/>
                <w:sz w:val="20"/>
                <w:szCs w:val="20"/>
              </w:rPr>
            </w:pPr>
          </w:p>
          <w:p w14:paraId="7D981DB5" w14:textId="77777777" w:rsidR="0066562F" w:rsidRPr="00F461C2" w:rsidRDefault="0066562F" w:rsidP="0010511E">
            <w:pPr>
              <w:rPr>
                <w:rFonts w:ascii="Arial" w:hAnsi="Arial" w:cs="Arial"/>
                <w:sz w:val="20"/>
                <w:szCs w:val="20"/>
              </w:rPr>
            </w:pPr>
            <w:r w:rsidRPr="00F461C2">
              <w:rPr>
                <w:rFonts w:ascii="Arial" w:hAnsi="Arial" w:cs="Arial"/>
                <w:sz w:val="20"/>
                <w:szCs w:val="20"/>
              </w:rPr>
              <w:t>Falkirk Council is also out of kilter with the rest of Scotland by imposing contributions on social housing.</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FB8ADFA"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 xml:space="preserve">It is fair, reasonable and legitimate to seek contributions from social housing </w:t>
            </w:r>
            <w:proofErr w:type="gramStart"/>
            <w:r w:rsidRPr="00F461C2">
              <w:rPr>
                <w:rFonts w:ascii="Arial" w:hAnsi="Arial" w:cs="Arial"/>
                <w:sz w:val="20"/>
                <w:szCs w:val="20"/>
              </w:rPr>
              <w:t>in order to</w:t>
            </w:r>
            <w:proofErr w:type="gramEnd"/>
            <w:r w:rsidRPr="00F461C2">
              <w:rPr>
                <w:rFonts w:ascii="Arial" w:hAnsi="Arial" w:cs="Arial"/>
                <w:sz w:val="20"/>
                <w:szCs w:val="20"/>
              </w:rPr>
              <w:t xml:space="preserve"> fund supporting infrastructure which is needed to make development acceptable in planning terms. SG13 recognises contributions can affect the viability of a development, and provision is included that would allow developers’ viability issues to be </w:t>
            </w:r>
            <w:proofErr w:type="gramStart"/>
            <w:r w:rsidRPr="00F461C2">
              <w:rPr>
                <w:rFonts w:ascii="Arial" w:hAnsi="Arial" w:cs="Arial"/>
                <w:sz w:val="20"/>
                <w:szCs w:val="20"/>
              </w:rPr>
              <w:t>taken into account</w:t>
            </w:r>
            <w:proofErr w:type="gramEnd"/>
            <w:r w:rsidRPr="00F461C2">
              <w:rPr>
                <w:rFonts w:ascii="Arial" w:hAnsi="Arial" w:cs="Arial"/>
                <w:sz w:val="20"/>
                <w:szCs w:val="20"/>
              </w:rPr>
              <w:t xml:space="preserve"> through submission of a Developer Viability Statement. This is a robust way of considering viability issues with respect to a development. </w:t>
            </w:r>
          </w:p>
          <w:p w14:paraId="7AF72828" w14:textId="77777777" w:rsidR="0066562F" w:rsidRPr="00F461C2" w:rsidRDefault="0066562F" w:rsidP="0010511E">
            <w:pPr>
              <w:rPr>
                <w:rFonts w:ascii="Arial" w:hAnsi="Arial" w:cs="Arial"/>
                <w:sz w:val="20"/>
                <w:szCs w:val="20"/>
              </w:rPr>
            </w:pPr>
          </w:p>
          <w:p w14:paraId="76CC8CA6"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Falkirk Council is not the only planning authority which seeks contributions from affordable housing, and it is a matter for individual councils themselves to decide what and how to charge contributions. Exempting all social housing from contributions raises questions of fairness for private development, and infrastructure providers which would need to bear more of the costs of supporting infrastructure in lieu of contributions. </w:t>
            </w:r>
          </w:p>
        </w:tc>
      </w:tr>
      <w:tr w:rsidR="0066562F" w:rsidRPr="00F461C2" w14:paraId="18B15EF9" w14:textId="77777777" w:rsidTr="0010511E">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55E78FA9"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Link Group and Loretto Housing Association</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F7F30F2" w14:textId="77777777" w:rsidR="0066562F" w:rsidRPr="00F461C2" w:rsidRDefault="0066562F" w:rsidP="0010511E">
            <w:pPr>
              <w:rPr>
                <w:rFonts w:ascii="Arial" w:hAnsi="Arial" w:cs="Arial"/>
                <w:sz w:val="20"/>
                <w:szCs w:val="20"/>
              </w:rPr>
            </w:pPr>
            <w:r w:rsidRPr="00F461C2">
              <w:rPr>
                <w:rFonts w:ascii="Arial" w:hAnsi="Arial" w:cs="Arial"/>
                <w:sz w:val="20"/>
                <w:szCs w:val="20"/>
              </w:rPr>
              <w:t>General comments regarding affordable housing</w:t>
            </w:r>
          </w:p>
          <w:p w14:paraId="3D8572A1" w14:textId="77777777" w:rsidR="0066562F" w:rsidRPr="00F461C2" w:rsidRDefault="0066562F" w:rsidP="0010511E">
            <w:pPr>
              <w:rPr>
                <w:rFonts w:ascii="Arial" w:hAnsi="Arial" w:cs="Arial"/>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38B659A" w14:textId="77777777" w:rsidR="0066562F" w:rsidRPr="00F461C2" w:rsidRDefault="0066562F" w:rsidP="0010511E">
            <w:pPr>
              <w:rPr>
                <w:rFonts w:ascii="Arial" w:hAnsi="Arial" w:cs="Arial"/>
                <w:sz w:val="20"/>
                <w:szCs w:val="20"/>
              </w:rPr>
            </w:pPr>
            <w:r w:rsidRPr="00F461C2">
              <w:rPr>
                <w:rFonts w:ascii="Arial" w:hAnsi="Arial" w:cs="Arial"/>
                <w:sz w:val="20"/>
                <w:szCs w:val="20"/>
              </w:rPr>
              <w:t>Affordable housing should be exempt from developer contributions as RSLs do not have the same ability to meet the costs of contributions like the private sector.</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55C599FD"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See above response. </w:t>
            </w:r>
          </w:p>
        </w:tc>
      </w:tr>
      <w:tr w:rsidR="0066562F" w:rsidRPr="00F461C2" w14:paraId="6B0132AE" w14:textId="77777777" w:rsidTr="0010511E">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679524B0" w14:textId="77777777" w:rsidR="0066562F" w:rsidRPr="00F461C2" w:rsidRDefault="0066562F" w:rsidP="0010511E">
            <w:pPr>
              <w:rPr>
                <w:rFonts w:ascii="Arial" w:hAnsi="Arial" w:cs="Arial"/>
                <w:sz w:val="20"/>
                <w:szCs w:val="20"/>
              </w:rPr>
            </w:pPr>
            <w:r w:rsidRPr="00F461C2">
              <w:rPr>
                <w:rFonts w:ascii="Arial" w:hAnsi="Arial" w:cs="Arial"/>
                <w:sz w:val="20"/>
                <w:szCs w:val="20"/>
              </w:rPr>
              <w:t>Loretto Housing Association</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FAD508C"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Development Viability </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16F7F82F" w14:textId="77777777" w:rsidR="0066562F" w:rsidRPr="00F461C2" w:rsidRDefault="0066562F" w:rsidP="0010511E">
            <w:pPr>
              <w:rPr>
                <w:rFonts w:ascii="Arial" w:hAnsi="Arial" w:cs="Arial"/>
                <w:sz w:val="20"/>
                <w:szCs w:val="20"/>
              </w:rPr>
            </w:pPr>
            <w:r w:rsidRPr="00F461C2">
              <w:rPr>
                <w:rFonts w:ascii="Arial" w:hAnsi="Arial" w:cs="Arial"/>
                <w:sz w:val="20"/>
                <w:szCs w:val="20"/>
              </w:rPr>
              <w:t>The advocated residual valuation approach in Paras 8.2 and 8.4 is specific to private development so referencing an affordable housing project’s residual profit within a development viability assessment is not appropriate. The option of phased or timing payment of contributions is not available to affordable housing developers.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1F8D713"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partly accepted. The residual valuation approach to viability is standard practice advocated by RICS. However, it is accepted that for social rented housing, developers’ profit is not </w:t>
            </w:r>
            <w:proofErr w:type="gramStart"/>
            <w:r w:rsidRPr="00F461C2">
              <w:rPr>
                <w:rFonts w:ascii="Arial" w:hAnsi="Arial" w:cs="Arial"/>
                <w:sz w:val="20"/>
                <w:szCs w:val="20"/>
              </w:rPr>
              <w:t>relevant</w:t>
            </w:r>
            <w:proofErr w:type="gramEnd"/>
            <w:r w:rsidRPr="00F461C2">
              <w:rPr>
                <w:rFonts w:ascii="Arial" w:hAnsi="Arial" w:cs="Arial"/>
                <w:sz w:val="20"/>
                <w:szCs w:val="20"/>
              </w:rPr>
              <w:t xml:space="preserve"> and that viability is dependent on budget and external grant funding. </w:t>
            </w:r>
          </w:p>
          <w:p w14:paraId="025FCFFE" w14:textId="77777777" w:rsidR="0066562F" w:rsidRPr="00F461C2" w:rsidRDefault="0066562F" w:rsidP="0010511E">
            <w:pPr>
              <w:rPr>
                <w:rFonts w:ascii="Arial" w:hAnsi="Arial" w:cs="Arial"/>
                <w:sz w:val="20"/>
                <w:szCs w:val="20"/>
              </w:rPr>
            </w:pPr>
          </w:p>
          <w:p w14:paraId="30BAFFD1"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Replace last sentence of Para 8.2 as follows: </w:t>
            </w:r>
          </w:p>
          <w:p w14:paraId="10F4C5C7" w14:textId="77777777" w:rsidR="0066562F" w:rsidRPr="00F461C2" w:rsidRDefault="0066562F" w:rsidP="0010511E">
            <w:pPr>
              <w:rPr>
                <w:rFonts w:ascii="Arial" w:hAnsi="Arial" w:cs="Arial"/>
                <w:i/>
                <w:sz w:val="20"/>
                <w:szCs w:val="20"/>
              </w:rPr>
            </w:pPr>
            <w:r w:rsidRPr="00F461C2">
              <w:rPr>
                <w:rFonts w:ascii="Arial" w:hAnsi="Arial" w:cs="Arial"/>
                <w:i/>
                <w:sz w:val="20"/>
                <w:szCs w:val="20"/>
              </w:rPr>
              <w:t>‘For private developments, the Council will normally assess viability using the residual valuation approach, which establishes the developer’s residual profit once all the development costs of a scheme have been deducted from its gross development value. In the case of affordable housing, the Council will assess the viability implications of developer contributions after discounting all the development costs of the scheme from the maximum available budget including external funding sources.’</w:t>
            </w:r>
          </w:p>
          <w:p w14:paraId="19542D66" w14:textId="77777777" w:rsidR="0066562F" w:rsidRPr="00F461C2" w:rsidRDefault="0066562F" w:rsidP="0010511E">
            <w:pPr>
              <w:rPr>
                <w:rFonts w:ascii="Arial" w:hAnsi="Arial" w:cs="Arial"/>
                <w:sz w:val="20"/>
                <w:szCs w:val="20"/>
              </w:rPr>
            </w:pPr>
          </w:p>
          <w:p w14:paraId="4D5E6E2E"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Replace the last bullet of Para 8.4 as follows: </w:t>
            </w:r>
          </w:p>
          <w:p w14:paraId="3AB5C988" w14:textId="77777777" w:rsidR="0066562F" w:rsidRPr="00F461C2" w:rsidRDefault="0066562F" w:rsidP="0010511E">
            <w:pPr>
              <w:rPr>
                <w:rFonts w:ascii="Arial" w:hAnsi="Arial" w:cs="Arial"/>
                <w:i/>
                <w:sz w:val="20"/>
                <w:szCs w:val="20"/>
              </w:rPr>
            </w:pPr>
            <w:r w:rsidRPr="00F461C2">
              <w:rPr>
                <w:rFonts w:ascii="Arial" w:hAnsi="Arial" w:cs="Arial"/>
                <w:i/>
                <w:sz w:val="20"/>
                <w:szCs w:val="20"/>
              </w:rPr>
              <w:t xml:space="preserve">‘The residual developer’s profit after all development costs </w:t>
            </w:r>
            <w:proofErr w:type="gramStart"/>
            <w:r w:rsidRPr="00F461C2">
              <w:rPr>
                <w:rFonts w:ascii="Arial" w:hAnsi="Arial" w:cs="Arial"/>
                <w:i/>
                <w:sz w:val="20"/>
                <w:szCs w:val="20"/>
              </w:rPr>
              <w:t>are</w:t>
            </w:r>
            <w:proofErr w:type="gramEnd"/>
            <w:r w:rsidRPr="00F461C2">
              <w:rPr>
                <w:rFonts w:ascii="Arial" w:hAnsi="Arial" w:cs="Arial"/>
                <w:i/>
                <w:sz w:val="20"/>
                <w:szCs w:val="20"/>
              </w:rPr>
              <w:t xml:space="preserve"> deduced from the gross development value. Please note the maximum available budget rather than profit will be used to establish the viability implications for new affordable housing development. This may be determined on a cost per unit basis agreed with the Council as planning authority. Evidence of budgetary limits should be provided.’</w:t>
            </w:r>
          </w:p>
        </w:tc>
      </w:tr>
      <w:tr w:rsidR="0066562F" w:rsidRPr="00F461C2" w14:paraId="1C1E0DAF" w14:textId="77777777" w:rsidTr="0010511E">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80239F8" w14:textId="77777777" w:rsidR="0066562F" w:rsidRPr="00F461C2" w:rsidRDefault="0066562F" w:rsidP="0010511E">
            <w:pPr>
              <w:rPr>
                <w:rFonts w:ascii="Arial" w:hAnsi="Arial" w:cs="Arial"/>
                <w:sz w:val="20"/>
                <w:szCs w:val="20"/>
              </w:rPr>
            </w:pPr>
            <w:r w:rsidRPr="00F461C2">
              <w:rPr>
                <w:rFonts w:ascii="Arial" w:hAnsi="Arial" w:cs="Arial"/>
                <w:sz w:val="20"/>
                <w:szCs w:val="20"/>
              </w:rPr>
              <w:t>NHS Forth Valley</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876A333" w14:textId="77777777" w:rsidR="0066562F" w:rsidRPr="00F461C2" w:rsidRDefault="0066562F" w:rsidP="0010511E">
            <w:pPr>
              <w:rPr>
                <w:rFonts w:ascii="Arial" w:hAnsi="Arial" w:cs="Arial"/>
                <w:sz w:val="20"/>
                <w:szCs w:val="20"/>
              </w:rPr>
            </w:pPr>
            <w:r w:rsidRPr="00F461C2">
              <w:rPr>
                <w:rFonts w:ascii="Arial" w:hAnsi="Arial" w:cs="Arial"/>
                <w:sz w:val="20"/>
                <w:szCs w:val="20"/>
              </w:rPr>
              <w:t>Community Infrastructure -Healthcare Facilities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A5FDFFF" w14:textId="77777777" w:rsidR="0066562F" w:rsidRPr="00F461C2" w:rsidRDefault="0066562F" w:rsidP="0010511E">
            <w:pPr>
              <w:rPr>
                <w:rFonts w:ascii="Arial" w:hAnsi="Arial" w:cs="Arial"/>
                <w:sz w:val="20"/>
                <w:szCs w:val="20"/>
              </w:rPr>
            </w:pPr>
            <w:r w:rsidRPr="00F461C2">
              <w:rPr>
                <w:rFonts w:ascii="Arial" w:hAnsi="Arial" w:cs="Arial"/>
                <w:sz w:val="20"/>
                <w:szCs w:val="20"/>
              </w:rPr>
              <w:t>We welcome the section on healthcare facilities. Para 5.33, criterion a) details that proposals for fewer than 20 units (including flats) will be exempt from healthcare contributions. It is considered that this can be increased to 50 units.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4B213F3C"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noted and accepted. The requested modification will enable NHS Forth Valley to prioritise, and improve, engagement with the Council on large scale residential proposals. Amend Para 5.33, criterion (a) as follows: </w:t>
            </w:r>
          </w:p>
          <w:p w14:paraId="5583B58A" w14:textId="77777777" w:rsidR="0066562F" w:rsidRPr="00F461C2" w:rsidRDefault="0066562F" w:rsidP="0010511E">
            <w:pPr>
              <w:rPr>
                <w:rFonts w:ascii="Arial" w:hAnsi="Arial" w:cs="Arial"/>
                <w:i/>
                <w:sz w:val="20"/>
                <w:szCs w:val="20"/>
              </w:rPr>
            </w:pPr>
            <w:r w:rsidRPr="00F461C2">
              <w:rPr>
                <w:rFonts w:ascii="Arial" w:hAnsi="Arial" w:cs="Arial"/>
                <w:i/>
                <w:sz w:val="20"/>
                <w:szCs w:val="20"/>
              </w:rPr>
              <w:t>‘(a) Proposals for fewer than 50 units;’</w:t>
            </w:r>
          </w:p>
          <w:p w14:paraId="38D859AE"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Delete Para 5.33, criterion (c) as, with the increase in the general threshold, this is no longer relevant.</w:t>
            </w:r>
          </w:p>
          <w:p w14:paraId="5EF54D4A" w14:textId="77777777" w:rsidR="0066562F" w:rsidRPr="00F461C2" w:rsidRDefault="0066562F" w:rsidP="0010511E">
            <w:pPr>
              <w:rPr>
                <w:rFonts w:ascii="Arial" w:hAnsi="Arial" w:cs="Arial"/>
                <w:sz w:val="20"/>
                <w:szCs w:val="20"/>
              </w:rPr>
            </w:pPr>
          </w:p>
          <w:p w14:paraId="03A2EB00"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Delete the reference to criterion (c) in Para 5.34. This is a consequential change arising from criterion (c)’s deletion in para 5.33. </w:t>
            </w:r>
          </w:p>
        </w:tc>
      </w:tr>
      <w:tr w:rsidR="0066562F" w:rsidRPr="00F461C2" w14:paraId="65F7F7C6" w14:textId="77777777" w:rsidTr="0010511E">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7FFAC45"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Paths for All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80A7A9" w14:textId="77777777" w:rsidR="0066562F" w:rsidRPr="00F461C2" w:rsidRDefault="0066562F" w:rsidP="0010511E">
            <w:pPr>
              <w:rPr>
                <w:rFonts w:ascii="Arial" w:hAnsi="Arial" w:cs="Arial"/>
                <w:sz w:val="20"/>
                <w:szCs w:val="20"/>
              </w:rPr>
            </w:pPr>
            <w:r w:rsidRPr="00F461C2">
              <w:rPr>
                <w:rFonts w:ascii="Arial" w:hAnsi="Arial" w:cs="Arial"/>
                <w:sz w:val="20"/>
                <w:szCs w:val="20"/>
              </w:rPr>
              <w:t>General comments</w:t>
            </w:r>
          </w:p>
          <w:p w14:paraId="00ACDB03" w14:textId="77777777" w:rsidR="0066562F" w:rsidRPr="00F461C2" w:rsidRDefault="0066562F" w:rsidP="0010511E">
            <w:pPr>
              <w:rPr>
                <w:rFonts w:ascii="Arial" w:hAnsi="Arial" w:cs="Arial"/>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25AA2B0" w14:textId="77777777" w:rsidR="0066562F" w:rsidRPr="00F461C2" w:rsidRDefault="0066562F" w:rsidP="0010511E">
            <w:pPr>
              <w:rPr>
                <w:rFonts w:ascii="Arial" w:hAnsi="Arial" w:cs="Arial"/>
                <w:sz w:val="20"/>
                <w:szCs w:val="20"/>
              </w:rPr>
            </w:pPr>
            <w:r w:rsidRPr="00F461C2">
              <w:rPr>
                <w:rFonts w:ascii="Arial" w:hAnsi="Arial" w:cs="Arial"/>
                <w:sz w:val="20"/>
                <w:szCs w:val="20"/>
              </w:rPr>
              <w:t>SG13 will provide greater clarity and transparency to applicants regarding the basis on which contributions will be sought.</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6A1FEDF0"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 and welcomed.</w:t>
            </w:r>
          </w:p>
        </w:tc>
      </w:tr>
      <w:tr w:rsidR="0066562F" w:rsidRPr="00F461C2" w14:paraId="2139DC39" w14:textId="77777777" w:rsidTr="0010511E">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4E94184" w14:textId="77777777" w:rsidR="0066562F" w:rsidRPr="00F461C2" w:rsidRDefault="0066562F" w:rsidP="0010511E">
            <w:pPr>
              <w:rPr>
                <w:rFonts w:ascii="Arial" w:hAnsi="Arial" w:cs="Arial"/>
                <w:sz w:val="20"/>
                <w:szCs w:val="20"/>
              </w:rPr>
            </w:pPr>
            <w:r w:rsidRPr="00F461C2">
              <w:rPr>
                <w:rFonts w:ascii="Arial" w:hAnsi="Arial" w:cs="Arial"/>
                <w:sz w:val="20"/>
                <w:szCs w:val="20"/>
              </w:rPr>
              <w:t>Paths for All</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38355F2" w14:textId="77777777" w:rsidR="0066562F" w:rsidRPr="00F461C2" w:rsidRDefault="0066562F" w:rsidP="0010511E">
            <w:pPr>
              <w:rPr>
                <w:rFonts w:ascii="Arial" w:hAnsi="Arial" w:cs="Arial"/>
                <w:sz w:val="20"/>
                <w:szCs w:val="20"/>
              </w:rPr>
            </w:pPr>
            <w:r w:rsidRPr="00F461C2">
              <w:rPr>
                <w:rFonts w:ascii="Arial" w:hAnsi="Arial" w:cs="Arial"/>
                <w:sz w:val="20"/>
                <w:szCs w:val="20"/>
              </w:rPr>
              <w:t>Transport Infrastructure</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5084FB75" w14:textId="77777777" w:rsidR="0066562F" w:rsidRPr="00F461C2" w:rsidRDefault="0066562F" w:rsidP="0010511E">
            <w:pPr>
              <w:rPr>
                <w:rFonts w:ascii="Arial" w:hAnsi="Arial" w:cs="Arial"/>
                <w:sz w:val="20"/>
                <w:szCs w:val="20"/>
              </w:rPr>
            </w:pPr>
            <w:r w:rsidRPr="00F461C2">
              <w:rPr>
                <w:rFonts w:ascii="Arial" w:hAnsi="Arial" w:cs="Arial"/>
                <w:sz w:val="20"/>
                <w:szCs w:val="20"/>
              </w:rPr>
              <w:t>We welcome that SG13 makes provision for securing contributions towards active travel and public transport.</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18AF897A"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 and welcomed.</w:t>
            </w:r>
          </w:p>
        </w:tc>
      </w:tr>
      <w:tr w:rsidR="0066562F" w:rsidRPr="00F461C2" w14:paraId="6244E99F" w14:textId="77777777" w:rsidTr="0010511E">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3C23473" w14:textId="77777777" w:rsidR="0066562F" w:rsidRPr="00F461C2" w:rsidRDefault="0066562F" w:rsidP="0010511E">
            <w:pPr>
              <w:rPr>
                <w:rFonts w:ascii="Arial" w:hAnsi="Arial" w:cs="Arial"/>
                <w:sz w:val="20"/>
                <w:szCs w:val="20"/>
              </w:rPr>
            </w:pPr>
            <w:r w:rsidRPr="00F461C2">
              <w:rPr>
                <w:rFonts w:ascii="Arial" w:hAnsi="Arial" w:cs="Arial"/>
                <w:sz w:val="20"/>
                <w:szCs w:val="20"/>
              </w:rPr>
              <w:t>Paths for All and SEPA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C62ED08" w14:textId="77777777" w:rsidR="0066562F" w:rsidRPr="00F461C2" w:rsidRDefault="0066562F" w:rsidP="0010511E">
            <w:pPr>
              <w:rPr>
                <w:rFonts w:ascii="Arial" w:hAnsi="Arial" w:cs="Arial"/>
                <w:sz w:val="20"/>
                <w:szCs w:val="20"/>
              </w:rPr>
            </w:pPr>
            <w:r w:rsidRPr="00F461C2">
              <w:rPr>
                <w:rFonts w:ascii="Arial" w:hAnsi="Arial" w:cs="Arial"/>
                <w:sz w:val="20"/>
                <w:szCs w:val="20"/>
              </w:rPr>
              <w:t>Green Infrastructure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A2C09CC"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We support the inclusion of developer contributions for green infrastructure. </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1680B24D"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 and welcomed.</w:t>
            </w:r>
          </w:p>
        </w:tc>
      </w:tr>
      <w:tr w:rsidR="0066562F" w:rsidRPr="00F461C2" w14:paraId="524A3D9C" w14:textId="77777777" w:rsidTr="0010511E">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08C354B4" w14:textId="77777777" w:rsidR="0066562F" w:rsidRPr="00F461C2" w:rsidRDefault="0066562F" w:rsidP="0010511E">
            <w:pPr>
              <w:rPr>
                <w:rFonts w:ascii="Arial" w:hAnsi="Arial" w:cs="Arial"/>
                <w:sz w:val="20"/>
                <w:szCs w:val="20"/>
              </w:rPr>
            </w:pPr>
            <w:r w:rsidRPr="00F461C2">
              <w:rPr>
                <w:rFonts w:ascii="Arial" w:hAnsi="Arial" w:cs="Arial"/>
                <w:sz w:val="20"/>
                <w:szCs w:val="20"/>
              </w:rPr>
              <w:t>Persimmon Homes East Scotland</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8952BFF" w14:textId="77777777" w:rsidR="0066562F" w:rsidRPr="00F461C2" w:rsidRDefault="0066562F" w:rsidP="0010511E">
            <w:pPr>
              <w:rPr>
                <w:rFonts w:ascii="Arial" w:hAnsi="Arial" w:cs="Arial"/>
                <w:sz w:val="20"/>
                <w:szCs w:val="20"/>
              </w:rPr>
            </w:pPr>
            <w:r w:rsidRPr="00F461C2">
              <w:rPr>
                <w:rFonts w:ascii="Arial" w:hAnsi="Arial" w:cs="Arial"/>
                <w:sz w:val="20"/>
                <w:szCs w:val="20"/>
              </w:rPr>
              <w:t>Introduction, Para 1.1</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1DC5AEBB"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There are </w:t>
            </w:r>
            <w:proofErr w:type="gramStart"/>
            <w:r w:rsidRPr="00F461C2">
              <w:rPr>
                <w:rFonts w:ascii="Arial" w:hAnsi="Arial" w:cs="Arial"/>
                <w:sz w:val="20"/>
                <w:szCs w:val="20"/>
              </w:rPr>
              <w:t>a number of</w:t>
            </w:r>
            <w:proofErr w:type="gramEnd"/>
            <w:r w:rsidRPr="00F461C2">
              <w:rPr>
                <w:rFonts w:ascii="Arial" w:hAnsi="Arial" w:cs="Arial"/>
                <w:sz w:val="20"/>
                <w:szCs w:val="20"/>
              </w:rPr>
              <w:t xml:space="preserve"> requirements stated that will not allow the cost implications of contributions to be established before land purchase or the planning application submission. Paragraph 1.1 should include a commitment from the Council to early consultation, information and guidance on contribution requirements.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43CCEE49"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noted. SG13 outlines the process and guiding principles for the Council, landowner or the developer to establish the likely need, scale and nature of contributions from a specific development. Contribution requirements are very specific to the circumstances of a </w:t>
            </w:r>
            <w:proofErr w:type="gramStart"/>
            <w:r w:rsidRPr="00F461C2">
              <w:rPr>
                <w:rFonts w:ascii="Arial" w:hAnsi="Arial" w:cs="Arial"/>
                <w:sz w:val="20"/>
                <w:szCs w:val="20"/>
              </w:rPr>
              <w:t>proposal</w:t>
            </w:r>
            <w:proofErr w:type="gramEnd"/>
            <w:r w:rsidRPr="00F461C2">
              <w:rPr>
                <w:rFonts w:ascii="Arial" w:hAnsi="Arial" w:cs="Arial"/>
                <w:sz w:val="20"/>
                <w:szCs w:val="20"/>
              </w:rPr>
              <w:t xml:space="preserve"> and it is wholly unrealistic for the guidance to set out costed contributions for every site and conceivable situation.</w:t>
            </w:r>
          </w:p>
          <w:p w14:paraId="27DE42C2" w14:textId="77777777" w:rsidR="0066562F" w:rsidRPr="00F461C2" w:rsidRDefault="0066562F" w:rsidP="0010511E">
            <w:pPr>
              <w:rPr>
                <w:rFonts w:ascii="Arial" w:hAnsi="Arial" w:cs="Arial"/>
                <w:sz w:val="20"/>
                <w:szCs w:val="20"/>
              </w:rPr>
            </w:pPr>
          </w:p>
          <w:p w14:paraId="14B3D6F5" w14:textId="77777777" w:rsidR="0066562F" w:rsidRPr="00F461C2" w:rsidRDefault="0066562F" w:rsidP="0010511E">
            <w:pPr>
              <w:rPr>
                <w:rFonts w:ascii="Arial" w:hAnsi="Arial" w:cs="Arial"/>
                <w:sz w:val="20"/>
                <w:szCs w:val="20"/>
              </w:rPr>
            </w:pPr>
            <w:r w:rsidRPr="00F461C2">
              <w:rPr>
                <w:rFonts w:ascii="Arial" w:hAnsi="Arial" w:cs="Arial"/>
                <w:sz w:val="20"/>
                <w:szCs w:val="20"/>
              </w:rPr>
              <w:t>Pre-application discussions are strongly encouraged by the Council, and this is stated in Para 7.1. Commitments are already made in the guidance to provide more upfront information on establishing contribution requirements e.g. it is stated in SG13 that the Council will produce an annual capacity statement for education.</w:t>
            </w:r>
          </w:p>
        </w:tc>
      </w:tr>
      <w:tr w:rsidR="0066562F" w:rsidRPr="00F461C2" w14:paraId="62BE9AF2" w14:textId="77777777" w:rsidTr="0010511E">
        <w:tc>
          <w:tcPr>
            <w:tcW w:w="1696" w:type="dxa"/>
            <w:tcBorders>
              <w:top w:val="single" w:sz="4" w:space="0" w:color="auto"/>
              <w:left w:val="single" w:sz="4" w:space="0" w:color="auto"/>
              <w:bottom w:val="single" w:sz="4" w:space="0" w:color="auto"/>
              <w:right w:val="single" w:sz="4" w:space="0" w:color="auto"/>
            </w:tcBorders>
            <w:shd w:val="clear" w:color="auto" w:fill="auto"/>
          </w:tcPr>
          <w:p w14:paraId="052A63E4" w14:textId="77777777" w:rsidR="0066562F" w:rsidRPr="00F461C2" w:rsidRDefault="0066562F" w:rsidP="0010511E">
            <w:pPr>
              <w:rPr>
                <w:rFonts w:ascii="Arial" w:hAnsi="Arial" w:cs="Arial"/>
                <w:sz w:val="20"/>
                <w:szCs w:val="20"/>
              </w:rPr>
            </w:pPr>
            <w:r w:rsidRPr="00F461C2">
              <w:rPr>
                <w:rFonts w:ascii="Arial" w:hAnsi="Arial" w:cs="Arial"/>
                <w:sz w:val="20"/>
                <w:szCs w:val="20"/>
              </w:rPr>
              <w:t>Persimmon Homes East Scotland</w:t>
            </w:r>
          </w:p>
          <w:p w14:paraId="4646C99D" w14:textId="77777777" w:rsidR="0066562F" w:rsidRPr="00F461C2" w:rsidRDefault="0066562F" w:rsidP="0010511E">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B1772F" w14:textId="77777777" w:rsidR="0066562F" w:rsidRPr="00F461C2" w:rsidRDefault="0066562F" w:rsidP="0010511E">
            <w:pPr>
              <w:rPr>
                <w:rFonts w:ascii="Arial" w:hAnsi="Arial" w:cs="Arial"/>
                <w:sz w:val="20"/>
                <w:szCs w:val="20"/>
              </w:rPr>
            </w:pPr>
            <w:r w:rsidRPr="00F461C2">
              <w:rPr>
                <w:rFonts w:ascii="Arial" w:hAnsi="Arial" w:cs="Arial"/>
                <w:sz w:val="20"/>
                <w:szCs w:val="20"/>
              </w:rPr>
              <w:t>Green Infrastructure - Habitat Creation and Management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736162C"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It is unclear to what extent the costs of off-site measures on land </w:t>
            </w:r>
            <w:proofErr w:type="spellStart"/>
            <w:r w:rsidRPr="00F461C2">
              <w:rPr>
                <w:rFonts w:ascii="Arial" w:hAnsi="Arial" w:cs="Arial"/>
                <w:sz w:val="20"/>
                <w:szCs w:val="20"/>
              </w:rPr>
              <w:t>outwith</w:t>
            </w:r>
            <w:proofErr w:type="spellEnd"/>
            <w:r w:rsidRPr="00F461C2">
              <w:rPr>
                <w:rFonts w:ascii="Arial" w:hAnsi="Arial" w:cs="Arial"/>
                <w:sz w:val="20"/>
                <w:szCs w:val="20"/>
              </w:rPr>
              <w:t xml:space="preserve"> the control of the developer could be considered fair and reasonable and relevant to a development; particularly in the scenario of Paragraph 3.18 where the purchase of land would be required. This would be a complex scenario which would create uncertainty for developers. SG13 should provide further clarity on where this could potentially be sought and evidenced details on the scale of the anticipated contribution.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0FD767F"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partly accepted. As with all proposals, the Council will only seek planning obligations where they meet all the policy tests in Circular 3/2012 Planning Obligations (SG13, Para 2.7). Council officers do accept land purchase would be complex to instigate for an off-site measure, but this is rarely likely to be required. Generally, most provision is secured on-site </w:t>
            </w:r>
            <w:proofErr w:type="gramStart"/>
            <w:r w:rsidRPr="00F461C2">
              <w:rPr>
                <w:rFonts w:ascii="Arial" w:hAnsi="Arial" w:cs="Arial"/>
                <w:sz w:val="20"/>
                <w:szCs w:val="20"/>
              </w:rPr>
              <w:t>through the use of</w:t>
            </w:r>
            <w:proofErr w:type="gramEnd"/>
            <w:r w:rsidRPr="00F461C2">
              <w:rPr>
                <w:rFonts w:ascii="Arial" w:hAnsi="Arial" w:cs="Arial"/>
                <w:sz w:val="20"/>
                <w:szCs w:val="20"/>
              </w:rPr>
              <w:t xml:space="preserve"> planning conditions.</w:t>
            </w:r>
          </w:p>
          <w:p w14:paraId="16B797D1" w14:textId="77777777" w:rsidR="0066562F" w:rsidRPr="00F461C2" w:rsidRDefault="0066562F" w:rsidP="0010511E">
            <w:pPr>
              <w:rPr>
                <w:rFonts w:ascii="Arial" w:hAnsi="Arial" w:cs="Arial"/>
                <w:sz w:val="20"/>
                <w:szCs w:val="20"/>
              </w:rPr>
            </w:pPr>
          </w:p>
          <w:p w14:paraId="1C47F0D1" w14:textId="77777777" w:rsidR="0066562F" w:rsidRPr="00F461C2" w:rsidRDefault="0066562F" w:rsidP="0010511E">
            <w:pPr>
              <w:rPr>
                <w:rFonts w:ascii="Arial" w:hAnsi="Arial" w:cs="Arial"/>
                <w:sz w:val="20"/>
                <w:szCs w:val="20"/>
              </w:rPr>
            </w:pPr>
            <w:r w:rsidRPr="00F461C2">
              <w:rPr>
                <w:rFonts w:ascii="Arial" w:hAnsi="Arial" w:cs="Arial"/>
                <w:sz w:val="20"/>
                <w:szCs w:val="20"/>
              </w:rPr>
              <w:t>Para 3.14 and 3.17 generally and sufficiently explain the circumstances in which off-site contributions for habitat creation and management may be sought. However, Para 3.18 will be amended as follows to clarify how the value of land required for an off-site measure will be determined:</w:t>
            </w:r>
          </w:p>
          <w:p w14:paraId="0EEE3046" w14:textId="77777777" w:rsidR="0066562F" w:rsidRPr="00F461C2" w:rsidRDefault="0066562F" w:rsidP="0010511E">
            <w:pPr>
              <w:rPr>
                <w:rFonts w:ascii="Arial" w:hAnsi="Arial" w:cs="Arial"/>
                <w:i/>
                <w:sz w:val="20"/>
                <w:szCs w:val="20"/>
              </w:rPr>
            </w:pPr>
            <w:r w:rsidRPr="00F461C2">
              <w:rPr>
                <w:rFonts w:ascii="Arial" w:hAnsi="Arial" w:cs="Arial"/>
                <w:i/>
                <w:sz w:val="20"/>
                <w:szCs w:val="20"/>
              </w:rPr>
              <w:lastRenderedPageBreak/>
              <w:t>‘If the purchase of land is required to implement an off-site measure, the value of the land will be assessed by a suitable, independent valuer, and will be incorporated within the overall developer contribution.’</w:t>
            </w:r>
          </w:p>
        </w:tc>
      </w:tr>
      <w:tr w:rsidR="0066562F" w:rsidRPr="00F461C2" w14:paraId="51988CB2" w14:textId="77777777" w:rsidTr="0010511E">
        <w:trPr>
          <w:trHeight w:val="841"/>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54B303C"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Persimmon Homes East Scotland</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08648C2" w14:textId="77777777" w:rsidR="0066562F" w:rsidRPr="00F461C2" w:rsidRDefault="0066562F" w:rsidP="0010511E">
            <w:pPr>
              <w:rPr>
                <w:rFonts w:ascii="Arial" w:hAnsi="Arial" w:cs="Arial"/>
                <w:sz w:val="20"/>
                <w:szCs w:val="20"/>
              </w:rPr>
            </w:pPr>
            <w:r w:rsidRPr="00F461C2">
              <w:rPr>
                <w:rFonts w:ascii="Arial" w:hAnsi="Arial" w:cs="Arial"/>
                <w:sz w:val="20"/>
                <w:szCs w:val="20"/>
              </w:rPr>
              <w:t>Transport Infrastructure, Para 4.9-4.10</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AA227F2"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It is stated that cost of transport improvements will be charged to a single developer where only one proposal is involved or apportioned to each development if </w:t>
            </w:r>
            <w:proofErr w:type="gramStart"/>
            <w:r w:rsidRPr="00F461C2">
              <w:rPr>
                <w:rFonts w:ascii="Arial" w:hAnsi="Arial" w:cs="Arial"/>
                <w:sz w:val="20"/>
                <w:szCs w:val="20"/>
              </w:rPr>
              <w:t>there</w:t>
            </w:r>
            <w:proofErr w:type="gramEnd"/>
            <w:r w:rsidRPr="00F461C2">
              <w:rPr>
                <w:rFonts w:ascii="Arial" w:hAnsi="Arial" w:cs="Arial"/>
                <w:sz w:val="20"/>
                <w:szCs w:val="20"/>
              </w:rPr>
              <w:t xml:space="preserve"> cumulative impacts from more than one proposal. This approach means that developers will not be able to determine the cost implications in advance of a planning application. Further thought should be given to apportioning costs to each allocated site that will have an impact rather than penalising a single development for the timing of their application/development.</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69E35749"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 accepted. Chapter 4, SG13 advocates an equitable approach to apportioning developer contributions across sites which require transport improvements to address their cumulative impacts on the transport network. The guidance strongly encourages pre-application discussions to establish the likely cost of contributions at an early stage.</w:t>
            </w:r>
          </w:p>
        </w:tc>
      </w:tr>
      <w:tr w:rsidR="0066562F" w:rsidRPr="00F461C2" w14:paraId="6F29D2C8" w14:textId="77777777" w:rsidTr="0010511E">
        <w:trPr>
          <w:trHeight w:val="841"/>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45A6832" w14:textId="77777777" w:rsidR="0066562F" w:rsidRPr="00F461C2" w:rsidRDefault="0066562F" w:rsidP="0010511E">
            <w:pPr>
              <w:rPr>
                <w:rFonts w:ascii="Arial" w:hAnsi="Arial" w:cs="Arial"/>
                <w:sz w:val="20"/>
                <w:szCs w:val="20"/>
              </w:rPr>
            </w:pPr>
            <w:r w:rsidRPr="00F461C2">
              <w:rPr>
                <w:rFonts w:ascii="Arial" w:hAnsi="Arial" w:cs="Arial"/>
                <w:sz w:val="20"/>
                <w:szCs w:val="20"/>
              </w:rPr>
              <w:t>Persimmon Homes East Scotland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5C36B4" w14:textId="77777777" w:rsidR="0066562F" w:rsidRPr="00F461C2" w:rsidRDefault="0066562F" w:rsidP="0010511E">
            <w:pPr>
              <w:rPr>
                <w:rFonts w:ascii="Arial" w:hAnsi="Arial" w:cs="Arial"/>
                <w:sz w:val="20"/>
                <w:szCs w:val="20"/>
              </w:rPr>
            </w:pPr>
            <w:r w:rsidRPr="00F461C2">
              <w:rPr>
                <w:rFonts w:ascii="Arial" w:hAnsi="Arial" w:cs="Arial"/>
                <w:sz w:val="20"/>
                <w:szCs w:val="20"/>
              </w:rPr>
              <w:t>Community Infrastructure - Schools and Nurseries, Para 5.5</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BAB90DA"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Previous guidance indicated that contributions would be sought where occupancy was projected to increase above 100% of capacity, or 90% in some specific circumstances. This has been revised down to 90% across the board. The planning threshold in Para 5.5 should be 100% unless lower thresholds are evidenced and set out on a </w:t>
            </w:r>
            <w:proofErr w:type="gramStart"/>
            <w:r w:rsidRPr="00F461C2">
              <w:rPr>
                <w:rFonts w:ascii="Arial" w:hAnsi="Arial" w:cs="Arial"/>
                <w:sz w:val="20"/>
                <w:szCs w:val="20"/>
              </w:rPr>
              <w:t>school by school</w:t>
            </w:r>
            <w:proofErr w:type="gramEnd"/>
            <w:r w:rsidRPr="00F461C2">
              <w:rPr>
                <w:rFonts w:ascii="Arial" w:hAnsi="Arial" w:cs="Arial"/>
                <w:sz w:val="20"/>
                <w:szCs w:val="20"/>
              </w:rPr>
              <w:t xml:space="preserve"> basis.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FE0BF9B"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 accepted. The 90% benchmark for school capacity has been carried forward from Revised SG10, which was recently adopted in November 2019 following Scottish Ministers’ approval. The benchmark has never been set at 100% in previous Council guidance, as this is purely a theoretical capacity. 90% is a practical working capacity, </w:t>
            </w:r>
            <w:proofErr w:type="gramStart"/>
            <w:r w:rsidRPr="00F461C2">
              <w:rPr>
                <w:rFonts w:ascii="Arial" w:hAnsi="Arial" w:cs="Arial"/>
                <w:sz w:val="20"/>
                <w:szCs w:val="20"/>
              </w:rPr>
              <w:t>taking into account</w:t>
            </w:r>
            <w:proofErr w:type="gramEnd"/>
            <w:r w:rsidRPr="00F461C2">
              <w:rPr>
                <w:rFonts w:ascii="Arial" w:hAnsi="Arial" w:cs="Arial"/>
                <w:sz w:val="20"/>
                <w:szCs w:val="20"/>
              </w:rPr>
              <w:t xml:space="preserve"> schools with composite classes and the design of old school buildings which can restrict the number of pupils a school can accommodate. In large schools, 90% also provides a degree of flexibility to manage year to year class size variations.</w:t>
            </w:r>
          </w:p>
          <w:p w14:paraId="0C2370EF" w14:textId="77777777" w:rsidR="0066562F" w:rsidRPr="00F461C2" w:rsidRDefault="0066562F" w:rsidP="0010511E">
            <w:pPr>
              <w:rPr>
                <w:rFonts w:ascii="Arial" w:hAnsi="Arial" w:cs="Arial"/>
                <w:sz w:val="20"/>
                <w:szCs w:val="20"/>
              </w:rPr>
            </w:pPr>
          </w:p>
          <w:p w14:paraId="46B02936"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A Reporter confirmed at the recent </w:t>
            </w:r>
            <w:proofErr w:type="spellStart"/>
            <w:r w:rsidRPr="00F461C2">
              <w:rPr>
                <w:rFonts w:ascii="Arial" w:hAnsi="Arial" w:cs="Arial"/>
                <w:sz w:val="20"/>
                <w:szCs w:val="20"/>
              </w:rPr>
              <w:t>Crownerland</w:t>
            </w:r>
            <w:proofErr w:type="spellEnd"/>
            <w:r w:rsidRPr="00F461C2">
              <w:rPr>
                <w:rFonts w:ascii="Arial" w:hAnsi="Arial" w:cs="Arial"/>
                <w:sz w:val="20"/>
                <w:szCs w:val="20"/>
              </w:rPr>
              <w:t xml:space="preserve"> Farm appeal (</w:t>
            </w:r>
            <w:r w:rsidRPr="00F461C2">
              <w:rPr>
                <w:rFonts w:ascii="Arial" w:hAnsi="Arial" w:cs="Arial"/>
                <w:b/>
                <w:sz w:val="20"/>
                <w:szCs w:val="20"/>
              </w:rPr>
              <w:t>DPEA ref: PPA-240-2065)</w:t>
            </w:r>
            <w:r w:rsidRPr="00F461C2">
              <w:rPr>
                <w:rFonts w:ascii="Arial" w:hAnsi="Arial" w:cs="Arial"/>
                <w:sz w:val="20"/>
                <w:szCs w:val="20"/>
              </w:rPr>
              <w:t xml:space="preserve"> that the 90% benchmark is a reasonable position for the Council to adopt in the forward planning of its school estate.</w:t>
            </w:r>
          </w:p>
        </w:tc>
      </w:tr>
      <w:tr w:rsidR="0066562F" w:rsidRPr="00F461C2" w14:paraId="20D4ED1C" w14:textId="77777777" w:rsidTr="0010511E">
        <w:trPr>
          <w:trHeight w:val="841"/>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883E84" w14:textId="77777777" w:rsidR="0066562F" w:rsidRPr="00F461C2" w:rsidRDefault="0066562F" w:rsidP="0010511E">
            <w:pPr>
              <w:rPr>
                <w:rFonts w:ascii="Arial" w:hAnsi="Arial" w:cs="Arial"/>
                <w:sz w:val="20"/>
                <w:szCs w:val="20"/>
              </w:rPr>
            </w:pPr>
            <w:r w:rsidRPr="00F461C2">
              <w:rPr>
                <w:rFonts w:ascii="Arial" w:hAnsi="Arial" w:cs="Arial"/>
                <w:sz w:val="20"/>
                <w:szCs w:val="20"/>
              </w:rPr>
              <w:t>Persimmon Homes East Scotland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D30B2C" w14:textId="77777777" w:rsidR="0066562F" w:rsidRPr="00F461C2" w:rsidRDefault="0066562F" w:rsidP="0010511E">
            <w:pPr>
              <w:rPr>
                <w:rFonts w:ascii="Arial" w:hAnsi="Arial" w:cs="Arial"/>
                <w:sz w:val="20"/>
                <w:szCs w:val="20"/>
              </w:rPr>
            </w:pPr>
            <w:r w:rsidRPr="00F461C2">
              <w:rPr>
                <w:rFonts w:ascii="Arial" w:hAnsi="Arial" w:cs="Arial"/>
                <w:sz w:val="20"/>
                <w:szCs w:val="20"/>
              </w:rPr>
              <w:t>Community Infrastructure - Schools and Nurseries, Figure 2</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E6059D2" w14:textId="77777777" w:rsidR="0066562F" w:rsidRPr="00F461C2" w:rsidRDefault="0066562F" w:rsidP="0010511E">
            <w:pPr>
              <w:rPr>
                <w:rFonts w:ascii="Arial" w:hAnsi="Arial" w:cs="Arial"/>
                <w:sz w:val="20"/>
                <w:szCs w:val="20"/>
              </w:rPr>
            </w:pPr>
            <w:r w:rsidRPr="00F461C2">
              <w:rPr>
                <w:rFonts w:ascii="Arial" w:hAnsi="Arial" w:cs="Arial"/>
                <w:sz w:val="20"/>
                <w:szCs w:val="20"/>
              </w:rPr>
              <w:t>The pupil product ratios (PPRs) in Figure 2 do not take account of house moves within the existing catchment area of a school and therefore overestimate the impact of new development on existing schools. The ratios should be discounted in some manner to take account of children who are already attending the same school</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62A807"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 accepted. The Council’s PPR methodology is a tried and tested approach, providing a workable basis to forecast the number of children that will occupy new housing development. The PPRs in Figure 2 are taken from Revised SG10 and considered to be statistically robust having been directly derived from the actual number of pupils generated by past housing completions in the Council area. Pupil residence movement in the same school catchment area is impractical to track and estimate; and it is not accepted practice to factor pupil residence movement into school roll projections.</w:t>
            </w:r>
          </w:p>
        </w:tc>
      </w:tr>
      <w:tr w:rsidR="0066562F" w:rsidRPr="00F461C2" w14:paraId="3B5E2C53" w14:textId="77777777" w:rsidTr="0010511E">
        <w:trPr>
          <w:trHeight w:val="3330"/>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3991979"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Persimmon Homes East Scotland</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37309AE" w14:textId="77777777" w:rsidR="0066562F" w:rsidRPr="00F461C2" w:rsidRDefault="0066562F" w:rsidP="0010511E">
            <w:pPr>
              <w:rPr>
                <w:rFonts w:ascii="Arial" w:hAnsi="Arial" w:cs="Arial"/>
                <w:sz w:val="20"/>
                <w:szCs w:val="20"/>
              </w:rPr>
            </w:pPr>
            <w:r w:rsidRPr="00F461C2">
              <w:rPr>
                <w:rFonts w:ascii="Arial" w:hAnsi="Arial" w:cs="Arial"/>
                <w:sz w:val="20"/>
                <w:szCs w:val="20"/>
              </w:rPr>
              <w:t>Community Infrastructure - Schools and Nurseries, Para 5.14</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F472012" w14:textId="77777777" w:rsidR="0066562F" w:rsidRPr="00F461C2" w:rsidRDefault="0066562F" w:rsidP="0010511E">
            <w:pPr>
              <w:rPr>
                <w:rFonts w:ascii="Arial" w:hAnsi="Arial" w:cs="Arial"/>
                <w:sz w:val="20"/>
                <w:szCs w:val="20"/>
              </w:rPr>
            </w:pPr>
            <w:r w:rsidRPr="00F461C2">
              <w:rPr>
                <w:rFonts w:ascii="Arial" w:hAnsi="Arial" w:cs="Arial"/>
                <w:sz w:val="20"/>
                <w:szCs w:val="20"/>
              </w:rPr>
              <w:t>It is unclear why permanent extensions will likely be the required solution, or which schools have the physical ability to be extended. An indication of which LDP sites would be expected to contribute to increased capacity would be helpful.</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6A60D6F"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noted. Generally, school catchment areas with growth pressures will require permanent school extensions to meet additional demand for school places arising from new development. This conclusion has been drawn from forward planning of the Council’s school estate which </w:t>
            </w:r>
            <w:proofErr w:type="gramStart"/>
            <w:r w:rsidRPr="00F461C2">
              <w:rPr>
                <w:rFonts w:ascii="Arial" w:hAnsi="Arial" w:cs="Arial"/>
                <w:sz w:val="20"/>
                <w:szCs w:val="20"/>
              </w:rPr>
              <w:t>takes into account</w:t>
            </w:r>
            <w:proofErr w:type="gramEnd"/>
            <w:r w:rsidRPr="00F461C2">
              <w:rPr>
                <w:rFonts w:ascii="Arial" w:hAnsi="Arial" w:cs="Arial"/>
                <w:sz w:val="20"/>
                <w:szCs w:val="20"/>
              </w:rPr>
              <w:t xml:space="preserve"> many factors including programming of sites, floorspace needs, Scottish Government policy etc. The Council has committed in SG13 to publish more information on school capacity in an annual statement which will indicate capacity issues per school catchment area and the likelihood of education contributions being sought from LDP proposals. The first edition of the statement is expected to be published in spring 2021. </w:t>
            </w:r>
          </w:p>
        </w:tc>
      </w:tr>
      <w:tr w:rsidR="0066562F" w:rsidRPr="00F461C2" w14:paraId="70072DED" w14:textId="77777777" w:rsidTr="0010511E">
        <w:trPr>
          <w:trHeight w:val="2555"/>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6D72D31" w14:textId="77777777" w:rsidR="0066562F" w:rsidRPr="00F461C2" w:rsidRDefault="0066562F" w:rsidP="0010511E">
            <w:pPr>
              <w:rPr>
                <w:rFonts w:ascii="Arial" w:hAnsi="Arial" w:cs="Arial"/>
                <w:sz w:val="20"/>
                <w:szCs w:val="20"/>
              </w:rPr>
            </w:pPr>
            <w:r w:rsidRPr="00F461C2">
              <w:rPr>
                <w:rFonts w:ascii="Arial" w:hAnsi="Arial" w:cs="Arial"/>
                <w:sz w:val="20"/>
                <w:szCs w:val="20"/>
              </w:rPr>
              <w:t>Persimmon Homes East Scotland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D7DC1" w14:textId="77777777" w:rsidR="0066562F" w:rsidRPr="00F461C2" w:rsidRDefault="0066562F" w:rsidP="0010511E">
            <w:pPr>
              <w:rPr>
                <w:rFonts w:ascii="Arial" w:hAnsi="Arial" w:cs="Arial"/>
                <w:sz w:val="20"/>
                <w:szCs w:val="20"/>
              </w:rPr>
            </w:pPr>
            <w:r w:rsidRPr="00F461C2">
              <w:rPr>
                <w:rFonts w:ascii="Arial" w:hAnsi="Arial" w:cs="Arial"/>
                <w:sz w:val="20"/>
                <w:szCs w:val="20"/>
              </w:rPr>
              <w:t>Community Infrastructure- Community Space, Para 5.20</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CFE1D7E"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Para 5.20 details that Falkirk Council are in the process of reducing the number of existing community facilities and utilising more school buildings for community use outwith school hours. A reduced/rationalised portfolio should allow the Council to fund upgrades to the remaining facilities, </w:t>
            </w:r>
            <w:proofErr w:type="gramStart"/>
            <w:r w:rsidRPr="00F461C2">
              <w:rPr>
                <w:rFonts w:ascii="Arial" w:hAnsi="Arial" w:cs="Arial"/>
                <w:sz w:val="20"/>
                <w:szCs w:val="20"/>
              </w:rPr>
              <w:t>particular if</w:t>
            </w:r>
            <w:proofErr w:type="gramEnd"/>
            <w:r w:rsidRPr="00F461C2">
              <w:rPr>
                <w:rFonts w:ascii="Arial" w:hAnsi="Arial" w:cs="Arial"/>
                <w:sz w:val="20"/>
                <w:szCs w:val="20"/>
              </w:rPr>
              <w:t xml:space="preserve"> developers are already contributing to extensions to school buildings.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BBE5673"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 However, it is an oversimplification that rationalised community facilities will automatically negate the need for contributions to new or improved community facilities. Contributions to create school capacity will not necessarily address adaptations to allow community use of schools.</w:t>
            </w:r>
          </w:p>
        </w:tc>
      </w:tr>
      <w:tr w:rsidR="0066562F" w:rsidRPr="00F461C2" w14:paraId="074405CC" w14:textId="77777777" w:rsidTr="0010511E">
        <w:trPr>
          <w:trHeight w:val="1408"/>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79C71F" w14:textId="77777777" w:rsidR="0066562F" w:rsidRPr="00F461C2" w:rsidRDefault="0066562F" w:rsidP="0010511E">
            <w:pPr>
              <w:rPr>
                <w:rFonts w:ascii="Arial" w:hAnsi="Arial" w:cs="Arial"/>
                <w:sz w:val="20"/>
                <w:szCs w:val="20"/>
              </w:rPr>
            </w:pPr>
            <w:r w:rsidRPr="00F461C2">
              <w:rPr>
                <w:rFonts w:ascii="Arial" w:hAnsi="Arial" w:cs="Arial"/>
                <w:sz w:val="20"/>
                <w:szCs w:val="20"/>
              </w:rPr>
              <w:t>Persimmon Homes East Scotland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D8CB01" w14:textId="77777777" w:rsidR="0066562F" w:rsidRPr="00F461C2" w:rsidRDefault="0066562F" w:rsidP="0010511E">
            <w:pPr>
              <w:rPr>
                <w:rFonts w:ascii="Arial" w:hAnsi="Arial" w:cs="Arial"/>
                <w:sz w:val="20"/>
                <w:szCs w:val="20"/>
              </w:rPr>
            </w:pPr>
            <w:r w:rsidRPr="00F461C2">
              <w:rPr>
                <w:rFonts w:ascii="Arial" w:hAnsi="Arial" w:cs="Arial"/>
                <w:sz w:val="20"/>
                <w:szCs w:val="20"/>
              </w:rPr>
              <w:t>Community Infrastructure- Health Care Facilities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7F09791"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It is critical contributions are not sought to resolve pre-existing deficiencies in healthcare provision. It is also important that any methodology </w:t>
            </w:r>
            <w:proofErr w:type="gramStart"/>
            <w:r w:rsidRPr="00F461C2">
              <w:rPr>
                <w:rFonts w:ascii="Arial" w:hAnsi="Arial" w:cs="Arial"/>
                <w:sz w:val="20"/>
                <w:szCs w:val="20"/>
              </w:rPr>
              <w:t>takes into account</w:t>
            </w:r>
            <w:proofErr w:type="gramEnd"/>
            <w:r w:rsidRPr="00F461C2">
              <w:rPr>
                <w:rFonts w:ascii="Arial" w:hAnsi="Arial" w:cs="Arial"/>
                <w:sz w:val="20"/>
                <w:szCs w:val="20"/>
              </w:rPr>
              <w:t xml:space="preserve"> residents moving into new housing but not moving GP practice. </w:t>
            </w:r>
            <w:proofErr w:type="gramStart"/>
            <w:r w:rsidRPr="00F461C2">
              <w:rPr>
                <w:rFonts w:ascii="Arial" w:hAnsi="Arial" w:cs="Arial"/>
                <w:sz w:val="20"/>
                <w:szCs w:val="20"/>
              </w:rPr>
              <w:t>Para</w:t>
            </w:r>
            <w:proofErr w:type="gramEnd"/>
            <w:r w:rsidRPr="00F461C2">
              <w:rPr>
                <w:rFonts w:ascii="Arial" w:hAnsi="Arial" w:cs="Arial"/>
                <w:sz w:val="20"/>
                <w:szCs w:val="20"/>
              </w:rPr>
              <w:t xml:space="preserve"> 5.30 and 5.35 suggest there is no information on which GP practices have capacity issues or what is the required mitigation for a particular practice. Until this is known, evidenced and fully costed, it is not considered appropriate to seek contributions for unplanned and unknown provision.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3F363FB" w14:textId="77777777" w:rsidR="0066562F" w:rsidRPr="00F461C2" w:rsidRDefault="0066562F" w:rsidP="0010511E">
            <w:pPr>
              <w:rPr>
                <w:rFonts w:ascii="Arial" w:hAnsi="Arial" w:cs="Arial"/>
                <w:sz w:val="20"/>
                <w:szCs w:val="20"/>
              </w:rPr>
            </w:pPr>
            <w:r w:rsidRPr="00F461C2">
              <w:rPr>
                <w:rFonts w:ascii="Arial" w:hAnsi="Arial" w:cs="Arial"/>
                <w:sz w:val="20"/>
                <w:szCs w:val="20"/>
              </w:rPr>
              <w:t>Comment noted. As stated in Para 5.28, contributions towards primary health care will be sought where development creates a direct need for improved facilities. The SG sets out a detailed approach for NHS Forth Valley to establish and evidence this need.</w:t>
            </w:r>
          </w:p>
          <w:p w14:paraId="2B4F4C0B" w14:textId="77777777" w:rsidR="0066562F" w:rsidRPr="00F461C2" w:rsidRDefault="0066562F" w:rsidP="0010511E">
            <w:pPr>
              <w:rPr>
                <w:rFonts w:ascii="Arial" w:hAnsi="Arial" w:cs="Arial"/>
                <w:sz w:val="20"/>
                <w:szCs w:val="20"/>
              </w:rPr>
            </w:pPr>
          </w:p>
          <w:p w14:paraId="1C251881"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The level of primary healthcare contributions </w:t>
            </w:r>
            <w:proofErr w:type="gramStart"/>
            <w:r w:rsidRPr="00F461C2">
              <w:rPr>
                <w:rFonts w:ascii="Arial" w:hAnsi="Arial" w:cs="Arial"/>
                <w:sz w:val="20"/>
                <w:szCs w:val="20"/>
              </w:rPr>
              <w:t>are</w:t>
            </w:r>
            <w:proofErr w:type="gramEnd"/>
            <w:r w:rsidRPr="00F461C2">
              <w:rPr>
                <w:rFonts w:ascii="Arial" w:hAnsi="Arial" w:cs="Arial"/>
                <w:sz w:val="20"/>
                <w:szCs w:val="20"/>
              </w:rPr>
              <w:t xml:space="preserve"> established through negotiation with the Council, NHS Forth Valley and landowner/developer using the best available information at the time. In the absence of actual project costs, it is accepted and established practice to determine contribution requirements for improved public facilities, such as schools and health, using appropriate cost metrics. NHS Forth Valley is progressing work to define solutions to capacity issues. Para 5.30 states that a primary healthcare capacity statement will be prepared.</w:t>
            </w:r>
          </w:p>
          <w:p w14:paraId="5629C82B" w14:textId="77777777" w:rsidR="0066562F" w:rsidRPr="00F461C2" w:rsidRDefault="0066562F" w:rsidP="0010511E">
            <w:pPr>
              <w:rPr>
                <w:rFonts w:ascii="Arial" w:hAnsi="Arial" w:cs="Arial"/>
                <w:sz w:val="20"/>
                <w:szCs w:val="20"/>
              </w:rPr>
            </w:pPr>
          </w:p>
          <w:p w14:paraId="1BF0FDC4"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 xml:space="preserve">Lastly, it is impractical to model or </w:t>
            </w:r>
            <w:proofErr w:type="gramStart"/>
            <w:r w:rsidRPr="00F461C2">
              <w:rPr>
                <w:rFonts w:ascii="Arial" w:hAnsi="Arial" w:cs="Arial"/>
                <w:sz w:val="20"/>
                <w:szCs w:val="20"/>
              </w:rPr>
              <w:t>take into account</w:t>
            </w:r>
            <w:proofErr w:type="gramEnd"/>
            <w:r w:rsidRPr="00F461C2">
              <w:rPr>
                <w:rFonts w:ascii="Arial" w:hAnsi="Arial" w:cs="Arial"/>
                <w:sz w:val="20"/>
                <w:szCs w:val="20"/>
              </w:rPr>
              <w:t xml:space="preserve"> residents moving into new development, but not moving GP practice.</w:t>
            </w:r>
          </w:p>
        </w:tc>
      </w:tr>
      <w:tr w:rsidR="0066562F" w:rsidRPr="00F461C2" w14:paraId="7051059B" w14:textId="77777777" w:rsidTr="0010511E">
        <w:trPr>
          <w:trHeight w:val="1125"/>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579F226C"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Persimmon Homes East Scotland</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EF875BC" w14:textId="77777777" w:rsidR="0066562F" w:rsidRPr="00F461C2" w:rsidRDefault="0066562F" w:rsidP="0010511E">
            <w:pPr>
              <w:rPr>
                <w:rFonts w:ascii="Arial" w:hAnsi="Arial" w:cs="Arial"/>
                <w:sz w:val="20"/>
                <w:szCs w:val="20"/>
              </w:rPr>
            </w:pPr>
            <w:r w:rsidRPr="00F461C2">
              <w:rPr>
                <w:rFonts w:ascii="Arial" w:hAnsi="Arial" w:cs="Arial"/>
                <w:sz w:val="20"/>
                <w:szCs w:val="20"/>
              </w:rPr>
              <w:t>Placemaking and the Historic Environment</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CC9615F" w14:textId="77777777" w:rsidR="0066562F" w:rsidRPr="00F461C2" w:rsidRDefault="0066562F" w:rsidP="0010511E">
            <w:pPr>
              <w:rPr>
                <w:rFonts w:ascii="Arial" w:hAnsi="Arial" w:cs="Arial"/>
                <w:sz w:val="20"/>
                <w:szCs w:val="20"/>
              </w:rPr>
            </w:pPr>
            <w:r w:rsidRPr="00F461C2">
              <w:rPr>
                <w:rFonts w:ascii="Arial" w:hAnsi="Arial" w:cs="Arial"/>
                <w:sz w:val="20"/>
                <w:szCs w:val="20"/>
              </w:rPr>
              <w:t>There is no mention of developer contributions in Policies PE06-PE08 regarding placemaking and the historic environment. Persimmon would generally expect standard conditions for this type of provision rather than financial contributions.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04A95C92"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not accepted. Contributions can be legitimately sought to make a development proposal acceptable in terms of PE06, PE07 or PE08. In addition, Policy IR02 cross references Table 4.1 which provides the direct hook for seeking specific contributions in relation to placemaking or the historic environment. </w:t>
            </w:r>
          </w:p>
        </w:tc>
      </w:tr>
      <w:tr w:rsidR="0066562F" w:rsidRPr="00F461C2" w14:paraId="7D55402F" w14:textId="77777777" w:rsidTr="0010511E">
        <w:trPr>
          <w:trHeight w:val="3818"/>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6F5110D4" w14:textId="77777777" w:rsidR="0066562F" w:rsidRPr="00F461C2" w:rsidRDefault="0066562F" w:rsidP="0010511E">
            <w:pPr>
              <w:rPr>
                <w:rFonts w:ascii="Arial" w:hAnsi="Arial" w:cs="Arial"/>
                <w:sz w:val="20"/>
                <w:szCs w:val="20"/>
              </w:rPr>
            </w:pPr>
            <w:r w:rsidRPr="00F461C2">
              <w:rPr>
                <w:rFonts w:ascii="Arial" w:hAnsi="Arial" w:cs="Arial"/>
                <w:sz w:val="20"/>
                <w:szCs w:val="20"/>
              </w:rPr>
              <w:t>Scottish Water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3FF893C"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Green Infrastructure - Public Water and </w:t>
            </w:r>
            <w:proofErr w:type="gramStart"/>
            <w:r w:rsidRPr="00F461C2">
              <w:rPr>
                <w:rFonts w:ascii="Arial" w:hAnsi="Arial" w:cs="Arial"/>
                <w:sz w:val="20"/>
                <w:szCs w:val="20"/>
              </w:rPr>
              <w:t>Waste Water</w:t>
            </w:r>
            <w:proofErr w:type="gramEnd"/>
            <w:r w:rsidRPr="00F461C2">
              <w:rPr>
                <w:rFonts w:ascii="Arial" w:hAnsi="Arial" w:cs="Arial"/>
                <w:sz w:val="20"/>
                <w:szCs w:val="20"/>
              </w:rPr>
              <w:t xml:space="preserve"> Infrastructure</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D406BC8"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Change the last sentence in Para 3.29 from “depending on the type of asset and is usually a non planning matter” to “depending on the type of asset and if the asset will be vested by Scottish Water”. Replace the second sentence in para 3.30 with the following: </w:t>
            </w:r>
            <w:r w:rsidRPr="00F461C2">
              <w:rPr>
                <w:rFonts w:ascii="Arial" w:hAnsi="Arial" w:cs="Arial"/>
                <w:i/>
                <w:sz w:val="20"/>
                <w:szCs w:val="20"/>
              </w:rPr>
              <w:t>‘Scottish Water is funded for growth at their water and wastewater treatment works. If growth is required to meet the demands of new development the Developer will be asked to provide evidence to show they meet Scottish Water’s five growth criteria, which will allow a growth project to be initiated.</w:t>
            </w:r>
            <w:r w:rsidRPr="00F461C2">
              <w:rPr>
                <w:rFonts w:ascii="Arial" w:hAnsi="Arial" w:cs="Arial"/>
                <w:sz w:val="20"/>
                <w:szCs w:val="20"/>
              </w:rPr>
              <w:t>’ We welcome para 3.31, which encourages developers to undertake early engagement with Scottish Water.</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B73BF35" w14:textId="77777777" w:rsidR="0066562F" w:rsidRPr="00F461C2" w:rsidRDefault="0066562F" w:rsidP="0010511E">
            <w:pPr>
              <w:rPr>
                <w:rFonts w:ascii="Arial" w:hAnsi="Arial" w:cs="Arial"/>
                <w:sz w:val="20"/>
                <w:szCs w:val="20"/>
              </w:rPr>
            </w:pPr>
            <w:r w:rsidRPr="00F461C2">
              <w:rPr>
                <w:rFonts w:ascii="Arial" w:hAnsi="Arial" w:cs="Arial"/>
                <w:sz w:val="20"/>
                <w:szCs w:val="20"/>
              </w:rPr>
              <w:t>Comment accepted. Para 3.29- 3.30 will be modified as per Scottish Water’s suggested wording.</w:t>
            </w:r>
          </w:p>
          <w:p w14:paraId="627B2F24" w14:textId="77777777" w:rsidR="0066562F" w:rsidRPr="00F461C2" w:rsidRDefault="0066562F" w:rsidP="0010511E">
            <w:pPr>
              <w:rPr>
                <w:rFonts w:ascii="Arial" w:hAnsi="Arial" w:cs="Arial"/>
                <w:sz w:val="20"/>
                <w:szCs w:val="20"/>
              </w:rPr>
            </w:pPr>
          </w:p>
          <w:p w14:paraId="2ACC5E95" w14:textId="77777777" w:rsidR="0066562F" w:rsidRPr="00F461C2" w:rsidRDefault="0066562F" w:rsidP="0010511E">
            <w:pPr>
              <w:rPr>
                <w:rFonts w:ascii="Arial" w:hAnsi="Arial" w:cs="Arial"/>
                <w:sz w:val="20"/>
                <w:szCs w:val="20"/>
              </w:rPr>
            </w:pPr>
          </w:p>
        </w:tc>
      </w:tr>
      <w:tr w:rsidR="0066562F" w:rsidRPr="00F461C2" w14:paraId="432F2B2C" w14:textId="77777777" w:rsidTr="0010511E">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A8C44E8" w14:textId="77777777" w:rsidR="0066562F" w:rsidRPr="00F461C2" w:rsidRDefault="0066562F" w:rsidP="0010511E">
            <w:pPr>
              <w:rPr>
                <w:rFonts w:ascii="Arial" w:hAnsi="Arial" w:cs="Arial"/>
                <w:sz w:val="20"/>
                <w:szCs w:val="20"/>
              </w:rPr>
            </w:pPr>
            <w:r w:rsidRPr="00F461C2">
              <w:rPr>
                <w:rFonts w:ascii="Arial" w:hAnsi="Arial" w:cs="Arial"/>
                <w:sz w:val="20"/>
                <w:szCs w:val="20"/>
              </w:rPr>
              <w:t>Transport Scotland</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23C5F9D"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Transport Infrastructure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12CA9A7"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The document details, within Figure 1 on page 10, the transport infrastructure to be delivered within the area and the funding mechanisms. Figure 1 indicates that </w:t>
            </w:r>
            <w:proofErr w:type="gramStart"/>
            <w:r w:rsidRPr="00F461C2">
              <w:rPr>
                <w:rFonts w:ascii="Arial" w:hAnsi="Arial" w:cs="Arial"/>
                <w:sz w:val="20"/>
                <w:szCs w:val="20"/>
              </w:rPr>
              <w:t>with regard to</w:t>
            </w:r>
            <w:proofErr w:type="gramEnd"/>
            <w:r w:rsidRPr="00F461C2">
              <w:rPr>
                <w:rFonts w:ascii="Arial" w:hAnsi="Arial" w:cs="Arial"/>
                <w:sz w:val="20"/>
                <w:szCs w:val="20"/>
              </w:rPr>
              <w:t xml:space="preserve"> the M9 (T) Junction 4, contributions and improvements will be phased in agreement with Transport Scotland; and para 7.17 states that the trigger points for contribution payments will be subject to negotiation between all the relevant parties and specified in the legal agreement.  This reflects the current position with Transport Scotland. However, while the approach details that the scheme will be funded by developers, the actual costs are not detailed, nor who is responsible for delivery of the improvements.</w:t>
            </w:r>
          </w:p>
          <w:p w14:paraId="09755E8A" w14:textId="77777777" w:rsidR="0066562F" w:rsidRPr="00F461C2" w:rsidRDefault="0066562F" w:rsidP="0010511E">
            <w:pPr>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6B889B4"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Comment partly accepted. SG13, page 10, Figure 1 comments will be amended to state the estimated costs (£1,360,600) for the M9 Junction 4 improvements at December 2020 prices and that Falkirk Council is responsible for delivery. For consistency, the estimated costs for other strategic transport improvements will be stated in Figure 1, if known. However, it should be noted actual costs can only be determined with any certainty following completion of the improvement works.</w:t>
            </w:r>
          </w:p>
          <w:p w14:paraId="2087B9BA" w14:textId="77777777" w:rsidR="0066562F" w:rsidRPr="00F461C2" w:rsidRDefault="0066562F" w:rsidP="0010511E">
            <w:pPr>
              <w:rPr>
                <w:rFonts w:ascii="Arial" w:hAnsi="Arial" w:cs="Arial"/>
                <w:sz w:val="20"/>
                <w:szCs w:val="20"/>
              </w:rPr>
            </w:pPr>
          </w:p>
          <w:p w14:paraId="11ECC773" w14:textId="77777777" w:rsidR="0066562F" w:rsidRPr="00F461C2" w:rsidRDefault="0066562F" w:rsidP="0010511E">
            <w:pPr>
              <w:rPr>
                <w:rFonts w:ascii="Arial" w:hAnsi="Arial" w:cs="Arial"/>
                <w:sz w:val="20"/>
                <w:szCs w:val="20"/>
              </w:rPr>
            </w:pPr>
          </w:p>
          <w:p w14:paraId="43AC4711" w14:textId="77777777" w:rsidR="0066562F" w:rsidRPr="00F461C2" w:rsidRDefault="0066562F" w:rsidP="0010511E">
            <w:pPr>
              <w:rPr>
                <w:rFonts w:ascii="Arial" w:hAnsi="Arial" w:cs="Arial"/>
                <w:sz w:val="20"/>
                <w:szCs w:val="20"/>
              </w:rPr>
            </w:pPr>
          </w:p>
        </w:tc>
      </w:tr>
      <w:tr w:rsidR="0066562F" w:rsidRPr="00F461C2" w14:paraId="241D78FD" w14:textId="77777777" w:rsidTr="0010511E">
        <w:trPr>
          <w:trHeight w:val="1159"/>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03980237" w14:textId="77777777" w:rsidR="0066562F" w:rsidRPr="00F461C2" w:rsidRDefault="0066562F" w:rsidP="0010511E">
            <w:pPr>
              <w:rPr>
                <w:rFonts w:ascii="Arial" w:hAnsi="Arial" w:cs="Arial"/>
                <w:sz w:val="20"/>
                <w:szCs w:val="20"/>
              </w:rPr>
            </w:pPr>
            <w:r w:rsidRPr="00F461C2">
              <w:rPr>
                <w:rFonts w:ascii="Arial" w:hAnsi="Arial" w:cs="Arial"/>
                <w:sz w:val="20"/>
                <w:szCs w:val="20"/>
              </w:rPr>
              <w:t>Transport Scotland</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999B98A" w14:textId="77777777" w:rsidR="0066562F" w:rsidRPr="00F461C2" w:rsidRDefault="0066562F" w:rsidP="0010511E">
            <w:pPr>
              <w:rPr>
                <w:rFonts w:ascii="Arial" w:hAnsi="Arial" w:cs="Arial"/>
                <w:sz w:val="20"/>
                <w:szCs w:val="20"/>
              </w:rPr>
            </w:pPr>
            <w:r w:rsidRPr="00F461C2">
              <w:rPr>
                <w:rFonts w:ascii="Arial" w:hAnsi="Arial" w:cs="Arial"/>
                <w:sz w:val="20"/>
                <w:szCs w:val="20"/>
              </w:rPr>
              <w:t>Transport Infrastructure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96FE0DD" w14:textId="77777777" w:rsidR="0066562F" w:rsidRPr="00F461C2" w:rsidRDefault="0066562F" w:rsidP="0010511E">
            <w:pPr>
              <w:rPr>
                <w:rFonts w:ascii="Arial" w:hAnsi="Arial" w:cs="Arial"/>
                <w:sz w:val="20"/>
                <w:szCs w:val="20"/>
              </w:rPr>
            </w:pPr>
            <w:r w:rsidRPr="00F461C2">
              <w:rPr>
                <w:rFonts w:ascii="Arial" w:hAnsi="Arial" w:cs="Arial"/>
                <w:sz w:val="20"/>
                <w:szCs w:val="20"/>
              </w:rPr>
              <w:t>The guidance details within paragraph 4.7 that the Council will carry out an exercise to determine the proportion of the cost to be borne by all the committed developments which are linked to a particular project. This has not yet been undertaken and should form part of the Supplementary Guidance and not left to a later date. The Guidance should provide such detail to enable a more informed response to applications, enabling agreed suspensive conditions regarding scale of development prior to the works being undertaken.  The responsibility for delivery of improvements should also be made clear.</w:t>
            </w:r>
          </w:p>
          <w:p w14:paraId="74125054" w14:textId="77777777" w:rsidR="0066562F" w:rsidRPr="00F461C2" w:rsidRDefault="0066562F" w:rsidP="0010511E">
            <w:pPr>
              <w:rPr>
                <w:rFonts w:ascii="Arial" w:hAnsi="Arial" w:cs="Arial"/>
                <w:sz w:val="20"/>
                <w:szCs w:val="20"/>
              </w:rPr>
            </w:pPr>
          </w:p>
          <w:p w14:paraId="7DA0A2BE" w14:textId="77777777" w:rsidR="0066562F" w:rsidRPr="00F461C2" w:rsidRDefault="0066562F" w:rsidP="0010511E">
            <w:pPr>
              <w:rPr>
                <w:rFonts w:ascii="Arial" w:hAnsi="Arial" w:cs="Arial"/>
                <w:sz w:val="20"/>
                <w:szCs w:val="20"/>
              </w:rPr>
            </w:pPr>
          </w:p>
          <w:p w14:paraId="16905986" w14:textId="77777777" w:rsidR="0066562F" w:rsidRPr="00F461C2" w:rsidRDefault="0066562F" w:rsidP="0010511E">
            <w:pPr>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AC71EF4"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Comment partly accepted. The Council has a degree of certainty about contributing developments and the nature of the schemes to apportion the contributions for DEAR and M80 Junction 7. Indeed, SG13 already states the indicative share of DEAR contributions for remaining sites. </w:t>
            </w:r>
          </w:p>
          <w:p w14:paraId="03FB561A" w14:textId="77777777" w:rsidR="0066562F" w:rsidRPr="00F461C2" w:rsidRDefault="0066562F" w:rsidP="0010511E">
            <w:pPr>
              <w:rPr>
                <w:rFonts w:ascii="Arial" w:hAnsi="Arial" w:cs="Arial"/>
                <w:sz w:val="20"/>
                <w:szCs w:val="20"/>
              </w:rPr>
            </w:pPr>
          </w:p>
          <w:p w14:paraId="5C22E6A8"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Page 10, Figure 1 wrongly states the M80 Junction 7 will be funded by TIF. This will be corrected to acknowledge the improvement will be funded by developer contributions and the Scottish Government’s Housing Infrastructure Fund. Contributing sites for this improvement will also be listed in Figure 1 along with a comment referring readers to the </w:t>
            </w:r>
            <w:proofErr w:type="spellStart"/>
            <w:r w:rsidRPr="00F461C2">
              <w:rPr>
                <w:rFonts w:ascii="Arial" w:hAnsi="Arial" w:cs="Arial"/>
                <w:sz w:val="20"/>
                <w:szCs w:val="20"/>
              </w:rPr>
              <w:t>Banknock</w:t>
            </w:r>
            <w:proofErr w:type="spellEnd"/>
            <w:r w:rsidRPr="00F461C2">
              <w:rPr>
                <w:rFonts w:ascii="Arial" w:hAnsi="Arial" w:cs="Arial"/>
                <w:sz w:val="20"/>
                <w:szCs w:val="20"/>
              </w:rPr>
              <w:t xml:space="preserve"> and Haggs SIRR Development Framework for the apportioning of contributions. </w:t>
            </w:r>
          </w:p>
          <w:p w14:paraId="41F7923F" w14:textId="77777777" w:rsidR="0066562F" w:rsidRPr="00F461C2" w:rsidRDefault="0066562F" w:rsidP="0010511E">
            <w:pPr>
              <w:rPr>
                <w:rFonts w:ascii="Arial" w:hAnsi="Arial" w:cs="Arial"/>
                <w:sz w:val="20"/>
                <w:szCs w:val="20"/>
              </w:rPr>
            </w:pPr>
          </w:p>
          <w:p w14:paraId="51B26536"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The following comments are made </w:t>
            </w:r>
            <w:proofErr w:type="gramStart"/>
            <w:r w:rsidRPr="00F461C2">
              <w:rPr>
                <w:rFonts w:ascii="Arial" w:hAnsi="Arial" w:cs="Arial"/>
                <w:sz w:val="20"/>
                <w:szCs w:val="20"/>
              </w:rPr>
              <w:t>with regard to</w:t>
            </w:r>
            <w:proofErr w:type="gramEnd"/>
            <w:r w:rsidRPr="00F461C2">
              <w:rPr>
                <w:rFonts w:ascii="Arial" w:hAnsi="Arial" w:cs="Arial"/>
                <w:sz w:val="20"/>
                <w:szCs w:val="20"/>
              </w:rPr>
              <w:t xml:space="preserve"> the other improvements, listed to be developer funded: </w:t>
            </w:r>
          </w:p>
          <w:p w14:paraId="43E198CA" w14:textId="77777777" w:rsidR="0066562F" w:rsidRPr="00F461C2" w:rsidRDefault="0066562F" w:rsidP="0010511E">
            <w:pPr>
              <w:rPr>
                <w:rFonts w:ascii="Arial" w:hAnsi="Arial" w:cs="Arial"/>
                <w:b/>
                <w:sz w:val="20"/>
                <w:szCs w:val="20"/>
              </w:rPr>
            </w:pPr>
          </w:p>
          <w:p w14:paraId="40AF64DC" w14:textId="77777777" w:rsidR="0066562F" w:rsidRPr="00F461C2" w:rsidRDefault="0066562F" w:rsidP="0010511E">
            <w:pPr>
              <w:rPr>
                <w:rFonts w:ascii="Arial" w:hAnsi="Arial" w:cs="Arial"/>
                <w:b/>
                <w:sz w:val="20"/>
                <w:szCs w:val="20"/>
              </w:rPr>
            </w:pPr>
            <w:r w:rsidRPr="00F461C2">
              <w:rPr>
                <w:rFonts w:ascii="Arial" w:hAnsi="Arial" w:cs="Arial"/>
                <w:b/>
                <w:sz w:val="20"/>
                <w:szCs w:val="20"/>
              </w:rPr>
              <w:t xml:space="preserve">M9 Junction 3 Improvements: </w:t>
            </w:r>
            <w:r w:rsidRPr="00F461C2">
              <w:rPr>
                <w:rFonts w:ascii="Arial" w:hAnsi="Arial" w:cs="Arial"/>
                <w:sz w:val="20"/>
                <w:szCs w:val="20"/>
              </w:rPr>
              <w:t>The improvement is required to support future growth within West Lothian, but not needed to serve LDP sites in the Falkirk Council area. West Lothian Council has already prepared draft supplementary guidance for attributing contributions among</w:t>
            </w:r>
            <w:r w:rsidRPr="00F461C2">
              <w:rPr>
                <w:rFonts w:ascii="Arial" w:hAnsi="Arial" w:cs="Arial"/>
                <w:b/>
                <w:sz w:val="20"/>
                <w:szCs w:val="20"/>
              </w:rPr>
              <w:t xml:space="preserve"> </w:t>
            </w:r>
            <w:r w:rsidRPr="00F461C2">
              <w:rPr>
                <w:rFonts w:ascii="Arial" w:hAnsi="Arial" w:cs="Arial"/>
                <w:sz w:val="20"/>
                <w:szCs w:val="20"/>
              </w:rPr>
              <w:t>contributing sites in West Lothian</w:t>
            </w:r>
            <w:r w:rsidRPr="00F461C2">
              <w:rPr>
                <w:rFonts w:ascii="Arial" w:hAnsi="Arial" w:cs="Arial"/>
                <w:b/>
                <w:sz w:val="20"/>
                <w:szCs w:val="20"/>
              </w:rPr>
              <w:t>.</w:t>
            </w:r>
          </w:p>
          <w:p w14:paraId="23BD1FD8" w14:textId="77777777" w:rsidR="0066562F" w:rsidRPr="00F461C2" w:rsidRDefault="0066562F" w:rsidP="0010511E">
            <w:pPr>
              <w:rPr>
                <w:rFonts w:ascii="Arial" w:hAnsi="Arial" w:cs="Arial"/>
                <w:b/>
                <w:sz w:val="20"/>
                <w:szCs w:val="20"/>
              </w:rPr>
            </w:pPr>
          </w:p>
          <w:p w14:paraId="297B65BB" w14:textId="77777777" w:rsidR="0066562F" w:rsidRPr="00F461C2" w:rsidRDefault="0066562F" w:rsidP="0010511E">
            <w:pPr>
              <w:rPr>
                <w:rFonts w:ascii="Arial" w:hAnsi="Arial" w:cs="Arial"/>
                <w:sz w:val="20"/>
                <w:szCs w:val="20"/>
              </w:rPr>
            </w:pPr>
            <w:r w:rsidRPr="00F461C2">
              <w:rPr>
                <w:rFonts w:ascii="Arial" w:hAnsi="Arial" w:cs="Arial"/>
                <w:b/>
                <w:sz w:val="20"/>
                <w:szCs w:val="20"/>
              </w:rPr>
              <w:t xml:space="preserve">M9 Junction 4 Improvement: </w:t>
            </w:r>
            <w:r w:rsidRPr="00F461C2">
              <w:rPr>
                <w:rFonts w:ascii="Arial" w:hAnsi="Arial" w:cs="Arial"/>
                <w:sz w:val="20"/>
                <w:szCs w:val="20"/>
              </w:rPr>
              <w:t xml:space="preserve">The following shows the current apportioning of contributions among the contributing sites listed in Figure 1. </w:t>
            </w:r>
          </w:p>
          <w:p w14:paraId="7DFA7C9D" w14:textId="77777777" w:rsidR="0066562F" w:rsidRPr="00F461C2" w:rsidRDefault="0066562F" w:rsidP="0010511E">
            <w:pPr>
              <w:rPr>
                <w:rFonts w:ascii="Arial" w:hAnsi="Arial" w:cs="Arial"/>
                <w:sz w:val="20"/>
                <w:szCs w:val="20"/>
              </w:rPr>
            </w:pPr>
            <w:proofErr w:type="spellStart"/>
            <w:r w:rsidRPr="00F461C2">
              <w:rPr>
                <w:rFonts w:ascii="Arial" w:hAnsi="Arial" w:cs="Arial"/>
                <w:sz w:val="20"/>
                <w:szCs w:val="20"/>
              </w:rPr>
              <w:t>Crownerland</w:t>
            </w:r>
            <w:proofErr w:type="spellEnd"/>
            <w:r w:rsidRPr="00F461C2">
              <w:rPr>
                <w:rFonts w:ascii="Arial" w:hAnsi="Arial" w:cs="Arial"/>
                <w:sz w:val="20"/>
                <w:szCs w:val="20"/>
              </w:rPr>
              <w:t xml:space="preserve">       15.6%</w:t>
            </w:r>
          </w:p>
          <w:p w14:paraId="0D8B9065" w14:textId="77777777" w:rsidR="0066562F" w:rsidRPr="00F461C2" w:rsidRDefault="0066562F" w:rsidP="0010511E">
            <w:pPr>
              <w:rPr>
                <w:rFonts w:ascii="Arial" w:hAnsi="Arial" w:cs="Arial"/>
                <w:sz w:val="20"/>
                <w:szCs w:val="20"/>
              </w:rPr>
            </w:pPr>
            <w:r w:rsidRPr="00F461C2">
              <w:rPr>
                <w:rFonts w:ascii="Arial" w:hAnsi="Arial" w:cs="Arial"/>
                <w:sz w:val="20"/>
                <w:szCs w:val="20"/>
              </w:rPr>
              <w:t>Manuel Works    37.8%</w:t>
            </w:r>
          </w:p>
          <w:p w14:paraId="3E2F21D2" w14:textId="77777777" w:rsidR="0066562F" w:rsidRPr="00F461C2" w:rsidRDefault="0066562F" w:rsidP="0010511E">
            <w:pPr>
              <w:rPr>
                <w:rFonts w:ascii="Arial" w:hAnsi="Arial" w:cs="Arial"/>
                <w:sz w:val="20"/>
                <w:szCs w:val="20"/>
              </w:rPr>
            </w:pPr>
            <w:proofErr w:type="spellStart"/>
            <w:r w:rsidRPr="00F461C2">
              <w:rPr>
                <w:rFonts w:ascii="Arial" w:hAnsi="Arial" w:cs="Arial"/>
                <w:sz w:val="20"/>
                <w:szCs w:val="20"/>
              </w:rPr>
              <w:t>Gilston</w:t>
            </w:r>
            <w:proofErr w:type="spellEnd"/>
            <w:r w:rsidRPr="00F461C2">
              <w:rPr>
                <w:rFonts w:ascii="Arial" w:hAnsi="Arial" w:cs="Arial"/>
                <w:sz w:val="20"/>
                <w:szCs w:val="20"/>
              </w:rPr>
              <w:t xml:space="preserve">                  45.6%</w:t>
            </w:r>
          </w:p>
          <w:p w14:paraId="313158CC" w14:textId="77777777" w:rsidR="0066562F" w:rsidRPr="00F461C2" w:rsidRDefault="0066562F" w:rsidP="0010511E">
            <w:pPr>
              <w:rPr>
                <w:rFonts w:ascii="Arial" w:hAnsi="Arial" w:cs="Arial"/>
                <w:sz w:val="20"/>
                <w:szCs w:val="20"/>
              </w:rPr>
            </w:pPr>
          </w:p>
          <w:p w14:paraId="4D2845FA"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It is based on various assumptions and was accepted as a basis for apportioning contributions to the </w:t>
            </w:r>
            <w:proofErr w:type="spellStart"/>
            <w:r w:rsidRPr="00F461C2">
              <w:rPr>
                <w:rFonts w:ascii="Arial" w:hAnsi="Arial" w:cs="Arial"/>
                <w:sz w:val="20"/>
                <w:szCs w:val="20"/>
              </w:rPr>
              <w:t>Crownerland</w:t>
            </w:r>
            <w:proofErr w:type="spellEnd"/>
            <w:r w:rsidRPr="00F461C2">
              <w:rPr>
                <w:rFonts w:ascii="Arial" w:hAnsi="Arial" w:cs="Arial"/>
                <w:sz w:val="20"/>
                <w:szCs w:val="20"/>
              </w:rPr>
              <w:t xml:space="preserve"> planning application (P/17/0797/PPP; LDP site H29) by the appeal reporter who considered this matter. The application is subject to a notice of intention to grant, with the Section 75 obligation still to be concluded. </w:t>
            </w:r>
          </w:p>
          <w:p w14:paraId="1D1166AF" w14:textId="77777777" w:rsidR="0066562F" w:rsidRPr="00F461C2" w:rsidRDefault="0066562F" w:rsidP="0010511E">
            <w:pPr>
              <w:rPr>
                <w:rFonts w:ascii="Arial" w:hAnsi="Arial" w:cs="Arial"/>
                <w:b/>
                <w:sz w:val="20"/>
                <w:szCs w:val="20"/>
              </w:rPr>
            </w:pPr>
          </w:p>
          <w:p w14:paraId="3F9CF967" w14:textId="77777777" w:rsidR="0066562F" w:rsidRPr="00F461C2" w:rsidRDefault="0066562F" w:rsidP="0010511E">
            <w:pPr>
              <w:rPr>
                <w:rFonts w:ascii="Arial" w:hAnsi="Arial" w:cs="Arial"/>
                <w:sz w:val="20"/>
                <w:szCs w:val="20"/>
              </w:rPr>
            </w:pPr>
            <w:r w:rsidRPr="00F461C2">
              <w:rPr>
                <w:rFonts w:ascii="Arial" w:hAnsi="Arial" w:cs="Arial"/>
                <w:sz w:val="20"/>
                <w:szCs w:val="20"/>
              </w:rPr>
              <w:lastRenderedPageBreak/>
              <w:t xml:space="preserve">Notwithstanding this, there is still uncertainty as to the content of contributing developments which suggests that it is premature to insert this provisional apportioning into SG13 at the present time. A decision has yet to be reached for planning application P17/0792/PPP, which is not consistent with LDP2, while a new PPP application (P/20/0493/PPP) has been submitted for the </w:t>
            </w:r>
            <w:proofErr w:type="spellStart"/>
            <w:r w:rsidRPr="00F461C2">
              <w:rPr>
                <w:rFonts w:ascii="Arial" w:hAnsi="Arial" w:cs="Arial"/>
                <w:sz w:val="20"/>
                <w:szCs w:val="20"/>
              </w:rPr>
              <w:t>Gilston</w:t>
            </w:r>
            <w:proofErr w:type="spellEnd"/>
            <w:r w:rsidRPr="00F461C2">
              <w:rPr>
                <w:rFonts w:ascii="Arial" w:hAnsi="Arial" w:cs="Arial"/>
                <w:sz w:val="20"/>
                <w:szCs w:val="20"/>
              </w:rPr>
              <w:t xml:space="preserve"> site which may give arise to different cumulative impacts than the previous, refused proposal (P/17/0332/PPP). </w:t>
            </w:r>
          </w:p>
          <w:p w14:paraId="0418B63E" w14:textId="77777777" w:rsidR="0066562F" w:rsidRPr="00F461C2" w:rsidRDefault="0066562F" w:rsidP="0010511E">
            <w:pPr>
              <w:rPr>
                <w:rFonts w:ascii="Arial" w:hAnsi="Arial" w:cs="Arial"/>
                <w:b/>
                <w:sz w:val="20"/>
                <w:szCs w:val="20"/>
              </w:rPr>
            </w:pPr>
          </w:p>
          <w:p w14:paraId="4314297D" w14:textId="77777777" w:rsidR="0066562F" w:rsidRPr="00F461C2" w:rsidRDefault="0066562F" w:rsidP="0010511E">
            <w:pPr>
              <w:rPr>
                <w:rFonts w:ascii="Arial" w:hAnsi="Arial" w:cs="Arial"/>
                <w:sz w:val="20"/>
                <w:szCs w:val="20"/>
              </w:rPr>
            </w:pPr>
            <w:r w:rsidRPr="00F461C2">
              <w:rPr>
                <w:rFonts w:ascii="Arial" w:hAnsi="Arial" w:cs="Arial"/>
                <w:b/>
                <w:sz w:val="20"/>
                <w:szCs w:val="20"/>
              </w:rPr>
              <w:t xml:space="preserve">Falkirk A803 Corridor Improvement/Grangemouth Access Improvements: </w:t>
            </w:r>
            <w:r w:rsidRPr="00F461C2">
              <w:rPr>
                <w:rFonts w:ascii="Arial" w:hAnsi="Arial" w:cs="Arial"/>
                <w:sz w:val="20"/>
                <w:szCs w:val="20"/>
              </w:rPr>
              <w:t xml:space="preserve">There is insufficient information about the nature of the works, the contributing developments and external funding sources at the present time to apportion contributions for these improvements. </w:t>
            </w:r>
          </w:p>
          <w:p w14:paraId="77886664" w14:textId="77777777" w:rsidR="0066562F" w:rsidRPr="00F461C2" w:rsidRDefault="0066562F" w:rsidP="0010511E">
            <w:pPr>
              <w:rPr>
                <w:rFonts w:ascii="Arial" w:hAnsi="Arial" w:cs="Arial"/>
                <w:b/>
                <w:sz w:val="20"/>
                <w:szCs w:val="20"/>
              </w:rPr>
            </w:pPr>
          </w:p>
          <w:p w14:paraId="46CCFD31" w14:textId="77777777" w:rsidR="0066562F" w:rsidRPr="00F461C2" w:rsidRDefault="0066562F" w:rsidP="0010511E">
            <w:pPr>
              <w:rPr>
                <w:rFonts w:ascii="Arial" w:hAnsi="Arial" w:cs="Arial"/>
                <w:sz w:val="20"/>
                <w:szCs w:val="20"/>
              </w:rPr>
            </w:pPr>
            <w:r w:rsidRPr="00F461C2">
              <w:rPr>
                <w:rFonts w:ascii="Arial" w:hAnsi="Arial" w:cs="Arial"/>
                <w:sz w:val="20"/>
                <w:szCs w:val="20"/>
              </w:rPr>
              <w:t xml:space="preserve">As requested, Page 10, Figure 1 will be modified to indicate which agency or agencies has lead responsibility for delivery in relation to </w:t>
            </w:r>
            <w:proofErr w:type="gramStart"/>
            <w:r w:rsidRPr="00F461C2">
              <w:rPr>
                <w:rFonts w:ascii="Arial" w:hAnsi="Arial" w:cs="Arial"/>
                <w:sz w:val="20"/>
                <w:szCs w:val="20"/>
              </w:rPr>
              <w:t>the each</w:t>
            </w:r>
            <w:proofErr w:type="gramEnd"/>
            <w:r w:rsidRPr="00F461C2">
              <w:rPr>
                <w:rFonts w:ascii="Arial" w:hAnsi="Arial" w:cs="Arial"/>
                <w:sz w:val="20"/>
                <w:szCs w:val="20"/>
              </w:rPr>
              <w:t xml:space="preserve"> improvement. </w:t>
            </w:r>
          </w:p>
          <w:p w14:paraId="411A2C2C" w14:textId="77777777" w:rsidR="0066562F" w:rsidRPr="00F461C2" w:rsidRDefault="0066562F" w:rsidP="0010511E">
            <w:pPr>
              <w:rPr>
                <w:rFonts w:ascii="Arial" w:hAnsi="Arial" w:cs="Arial"/>
                <w:b/>
                <w:sz w:val="20"/>
                <w:szCs w:val="20"/>
              </w:rPr>
            </w:pPr>
            <w:r w:rsidRPr="00F461C2">
              <w:rPr>
                <w:rFonts w:ascii="Arial" w:hAnsi="Arial" w:cs="Arial"/>
                <w:b/>
                <w:sz w:val="20"/>
                <w:szCs w:val="20"/>
              </w:rPr>
              <w:t xml:space="preserve"> </w:t>
            </w:r>
          </w:p>
        </w:tc>
      </w:tr>
    </w:tbl>
    <w:p w14:paraId="19B7560F" w14:textId="77777777" w:rsidR="0066562F" w:rsidRPr="00F461C2" w:rsidRDefault="0066562F" w:rsidP="0066562F">
      <w:pPr>
        <w:rPr>
          <w:rFonts w:ascii="Arial" w:hAnsi="Arial" w:cs="Arial"/>
          <w:sz w:val="20"/>
          <w:szCs w:val="20"/>
        </w:rPr>
      </w:pPr>
    </w:p>
    <w:p w14:paraId="296D3041" w14:textId="77777777" w:rsidR="0066562F" w:rsidRPr="00F461C2" w:rsidRDefault="0066562F" w:rsidP="0066562F">
      <w:pPr>
        <w:rPr>
          <w:rFonts w:ascii="Arial" w:hAnsi="Arial" w:cs="Arial"/>
          <w:sz w:val="20"/>
          <w:szCs w:val="20"/>
        </w:rPr>
      </w:pPr>
    </w:p>
    <w:p w14:paraId="5CE0E6EF" w14:textId="77777777" w:rsidR="0066562F" w:rsidRPr="00F461C2" w:rsidRDefault="0066562F" w:rsidP="0066562F">
      <w:pPr>
        <w:pStyle w:val="BodyText"/>
        <w:kinsoku w:val="0"/>
        <w:overflowPunct w:val="0"/>
        <w:ind w:left="0" w:firstLine="0"/>
        <w:rPr>
          <w:b/>
          <w:bCs/>
          <w:spacing w:val="-1"/>
        </w:rPr>
      </w:pPr>
    </w:p>
    <w:p w14:paraId="3B0836F1" w14:textId="77777777" w:rsidR="00CE6C58" w:rsidRPr="00F461C2" w:rsidRDefault="00CE6C58" w:rsidP="00AD6FF9">
      <w:pPr>
        <w:pStyle w:val="BodyText"/>
        <w:kinsoku w:val="0"/>
        <w:overflowPunct w:val="0"/>
        <w:ind w:left="220" w:firstLine="0"/>
        <w:rPr>
          <w:b/>
          <w:bCs/>
          <w:spacing w:val="-1"/>
        </w:rPr>
      </w:pPr>
    </w:p>
    <w:sectPr w:rsidR="00CE6C58" w:rsidRPr="00F461C2" w:rsidSect="00CE6C58">
      <w:pgSz w:w="16840" w:h="11900" w:orient="landscape"/>
      <w:pgMar w:top="1100" w:right="1780" w:bottom="899" w:left="12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D1053" w14:textId="77777777" w:rsidR="00D67646" w:rsidRDefault="00D67646" w:rsidP="009037C3">
      <w:r>
        <w:separator/>
      </w:r>
    </w:p>
  </w:endnote>
  <w:endnote w:type="continuationSeparator" w:id="0">
    <w:p w14:paraId="3B3BD3A8" w14:textId="77777777" w:rsidR="00D67646" w:rsidRDefault="00D67646" w:rsidP="0090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NISO+ArialMT">
    <w:altName w:val="FUNISO+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w:altName w:val="Lucida Sans Unicode"/>
    <w:charset w:val="00"/>
    <w:family w:val="swiss"/>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DF242" w14:textId="77777777" w:rsidR="00D67646" w:rsidRDefault="00D67646" w:rsidP="009037C3">
      <w:r>
        <w:separator/>
      </w:r>
    </w:p>
  </w:footnote>
  <w:footnote w:type="continuationSeparator" w:id="0">
    <w:p w14:paraId="39F41F69" w14:textId="77777777" w:rsidR="00D67646" w:rsidRDefault="00D67646" w:rsidP="009037C3">
      <w:r>
        <w:continuationSeparator/>
      </w:r>
    </w:p>
  </w:footnote>
  <w:footnote w:id="1">
    <w:p w14:paraId="540BF526" w14:textId="77777777" w:rsidR="00B12C56" w:rsidRDefault="00B12C56" w:rsidP="00B12C56">
      <w:pPr>
        <w:pStyle w:val="FootnoteText"/>
        <w:rPr>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99" w:hanging="125"/>
      </w:pPr>
      <w:rPr>
        <w:rFonts w:ascii="Arial" w:hAnsi="Arial" w:cs="Arial"/>
        <w:b w:val="0"/>
        <w:bCs w:val="0"/>
        <w:sz w:val="20"/>
        <w:szCs w:val="20"/>
      </w:rPr>
    </w:lvl>
    <w:lvl w:ilvl="1">
      <w:numFmt w:val="bullet"/>
      <w:lvlText w:val="•"/>
      <w:lvlJc w:val="left"/>
      <w:pPr>
        <w:ind w:left="609" w:hanging="125"/>
      </w:pPr>
    </w:lvl>
    <w:lvl w:ilvl="2">
      <w:numFmt w:val="bullet"/>
      <w:lvlText w:val="•"/>
      <w:lvlJc w:val="left"/>
      <w:pPr>
        <w:ind w:left="1118" w:hanging="125"/>
      </w:pPr>
    </w:lvl>
    <w:lvl w:ilvl="3">
      <w:numFmt w:val="bullet"/>
      <w:lvlText w:val="•"/>
      <w:lvlJc w:val="left"/>
      <w:pPr>
        <w:ind w:left="1627" w:hanging="125"/>
      </w:pPr>
    </w:lvl>
    <w:lvl w:ilvl="4">
      <w:numFmt w:val="bullet"/>
      <w:lvlText w:val="•"/>
      <w:lvlJc w:val="left"/>
      <w:pPr>
        <w:ind w:left="2136" w:hanging="125"/>
      </w:pPr>
    </w:lvl>
    <w:lvl w:ilvl="5">
      <w:numFmt w:val="bullet"/>
      <w:lvlText w:val="•"/>
      <w:lvlJc w:val="left"/>
      <w:pPr>
        <w:ind w:left="2645" w:hanging="125"/>
      </w:pPr>
    </w:lvl>
    <w:lvl w:ilvl="6">
      <w:numFmt w:val="bullet"/>
      <w:lvlText w:val="•"/>
      <w:lvlJc w:val="left"/>
      <w:pPr>
        <w:ind w:left="3154" w:hanging="125"/>
      </w:pPr>
    </w:lvl>
    <w:lvl w:ilvl="7">
      <w:numFmt w:val="bullet"/>
      <w:lvlText w:val="•"/>
      <w:lvlJc w:val="left"/>
      <w:pPr>
        <w:ind w:left="3664" w:hanging="125"/>
      </w:pPr>
    </w:lvl>
    <w:lvl w:ilvl="8">
      <w:numFmt w:val="bullet"/>
      <w:lvlText w:val="•"/>
      <w:lvlJc w:val="left"/>
      <w:pPr>
        <w:ind w:left="4173" w:hanging="125"/>
      </w:pPr>
    </w:lvl>
  </w:abstractNum>
  <w:abstractNum w:abstractNumId="1" w15:restartNumberingAfterBreak="0">
    <w:nsid w:val="00000403"/>
    <w:multiLevelType w:val="multilevel"/>
    <w:tmpl w:val="00000886"/>
    <w:lvl w:ilvl="0">
      <w:numFmt w:val="bullet"/>
      <w:lvlText w:val=""/>
      <w:lvlJc w:val="left"/>
      <w:pPr>
        <w:ind w:left="459" w:hanging="360"/>
      </w:pPr>
      <w:rPr>
        <w:rFonts w:ascii="Symbol" w:hAnsi="Symbol" w:cs="Symbol"/>
        <w:b w:val="0"/>
        <w:bCs w:val="0"/>
        <w:sz w:val="20"/>
        <w:szCs w:val="20"/>
      </w:rPr>
    </w:lvl>
    <w:lvl w:ilvl="1">
      <w:numFmt w:val="bullet"/>
      <w:lvlText w:val="•"/>
      <w:lvlJc w:val="left"/>
      <w:pPr>
        <w:ind w:left="952" w:hanging="360"/>
      </w:pPr>
    </w:lvl>
    <w:lvl w:ilvl="2">
      <w:numFmt w:val="bullet"/>
      <w:lvlText w:val="•"/>
      <w:lvlJc w:val="left"/>
      <w:pPr>
        <w:ind w:left="1444" w:hanging="360"/>
      </w:pPr>
    </w:lvl>
    <w:lvl w:ilvl="3">
      <w:numFmt w:val="bullet"/>
      <w:lvlText w:val="•"/>
      <w:lvlJc w:val="left"/>
      <w:pPr>
        <w:ind w:left="1936" w:hanging="360"/>
      </w:pPr>
    </w:lvl>
    <w:lvl w:ilvl="4">
      <w:numFmt w:val="bullet"/>
      <w:lvlText w:val="•"/>
      <w:lvlJc w:val="left"/>
      <w:pPr>
        <w:ind w:left="2429" w:hanging="360"/>
      </w:pPr>
    </w:lvl>
    <w:lvl w:ilvl="5">
      <w:numFmt w:val="bullet"/>
      <w:lvlText w:val="•"/>
      <w:lvlJc w:val="left"/>
      <w:pPr>
        <w:ind w:left="2921" w:hanging="360"/>
      </w:pPr>
    </w:lvl>
    <w:lvl w:ilvl="6">
      <w:numFmt w:val="bullet"/>
      <w:lvlText w:val="•"/>
      <w:lvlJc w:val="left"/>
      <w:pPr>
        <w:ind w:left="3414" w:hanging="360"/>
      </w:pPr>
    </w:lvl>
    <w:lvl w:ilvl="7">
      <w:numFmt w:val="bullet"/>
      <w:lvlText w:val="•"/>
      <w:lvlJc w:val="left"/>
      <w:pPr>
        <w:ind w:left="3906" w:hanging="360"/>
      </w:pPr>
    </w:lvl>
    <w:lvl w:ilvl="8">
      <w:numFmt w:val="bullet"/>
      <w:lvlText w:val="•"/>
      <w:lvlJc w:val="left"/>
      <w:pPr>
        <w:ind w:left="4398" w:hanging="360"/>
      </w:pPr>
    </w:lvl>
  </w:abstractNum>
  <w:abstractNum w:abstractNumId="2" w15:restartNumberingAfterBreak="0">
    <w:nsid w:val="00000404"/>
    <w:multiLevelType w:val="multilevel"/>
    <w:tmpl w:val="00000887"/>
    <w:lvl w:ilvl="0">
      <w:numFmt w:val="bullet"/>
      <w:lvlText w:val=""/>
      <w:lvlJc w:val="left"/>
      <w:pPr>
        <w:ind w:left="459" w:hanging="360"/>
      </w:pPr>
      <w:rPr>
        <w:rFonts w:ascii="Symbol" w:hAnsi="Symbol" w:cs="Symbol"/>
        <w:b w:val="0"/>
        <w:bCs w:val="0"/>
        <w:sz w:val="20"/>
        <w:szCs w:val="20"/>
      </w:rPr>
    </w:lvl>
    <w:lvl w:ilvl="1">
      <w:numFmt w:val="bullet"/>
      <w:lvlText w:val="•"/>
      <w:lvlJc w:val="left"/>
      <w:pPr>
        <w:ind w:left="952" w:hanging="360"/>
      </w:pPr>
    </w:lvl>
    <w:lvl w:ilvl="2">
      <w:numFmt w:val="bullet"/>
      <w:lvlText w:val="•"/>
      <w:lvlJc w:val="left"/>
      <w:pPr>
        <w:ind w:left="1444" w:hanging="360"/>
      </w:pPr>
    </w:lvl>
    <w:lvl w:ilvl="3">
      <w:numFmt w:val="bullet"/>
      <w:lvlText w:val="•"/>
      <w:lvlJc w:val="left"/>
      <w:pPr>
        <w:ind w:left="1936" w:hanging="360"/>
      </w:pPr>
    </w:lvl>
    <w:lvl w:ilvl="4">
      <w:numFmt w:val="bullet"/>
      <w:lvlText w:val="•"/>
      <w:lvlJc w:val="left"/>
      <w:pPr>
        <w:ind w:left="2429" w:hanging="360"/>
      </w:pPr>
    </w:lvl>
    <w:lvl w:ilvl="5">
      <w:numFmt w:val="bullet"/>
      <w:lvlText w:val="•"/>
      <w:lvlJc w:val="left"/>
      <w:pPr>
        <w:ind w:left="2921" w:hanging="360"/>
      </w:pPr>
    </w:lvl>
    <w:lvl w:ilvl="6">
      <w:numFmt w:val="bullet"/>
      <w:lvlText w:val="•"/>
      <w:lvlJc w:val="left"/>
      <w:pPr>
        <w:ind w:left="3414" w:hanging="360"/>
      </w:pPr>
    </w:lvl>
    <w:lvl w:ilvl="7">
      <w:numFmt w:val="bullet"/>
      <w:lvlText w:val="•"/>
      <w:lvlJc w:val="left"/>
      <w:pPr>
        <w:ind w:left="3906" w:hanging="360"/>
      </w:pPr>
    </w:lvl>
    <w:lvl w:ilvl="8">
      <w:numFmt w:val="bullet"/>
      <w:lvlText w:val="•"/>
      <w:lvlJc w:val="left"/>
      <w:pPr>
        <w:ind w:left="4398" w:hanging="360"/>
      </w:pPr>
    </w:lvl>
  </w:abstractNum>
  <w:abstractNum w:abstractNumId="3" w15:restartNumberingAfterBreak="0">
    <w:nsid w:val="00000405"/>
    <w:multiLevelType w:val="multilevel"/>
    <w:tmpl w:val="00000888"/>
    <w:lvl w:ilvl="0">
      <w:start w:val="5"/>
      <w:numFmt w:val="decimal"/>
      <w:lvlText w:val="%1"/>
      <w:lvlJc w:val="left"/>
      <w:pPr>
        <w:ind w:left="840" w:hanging="722"/>
      </w:pPr>
    </w:lvl>
    <w:lvl w:ilvl="1">
      <w:start w:val="1"/>
      <w:numFmt w:val="decimal"/>
      <w:lvlText w:val="%1.%2"/>
      <w:lvlJc w:val="left"/>
      <w:pPr>
        <w:ind w:left="840" w:hanging="722"/>
      </w:pPr>
      <w:rPr>
        <w:rFonts w:ascii="Garamond" w:hAnsi="Garamond" w:cs="Garamond"/>
        <w:b w:val="0"/>
        <w:bCs w:val="0"/>
        <w:w w:val="98"/>
        <w:sz w:val="24"/>
        <w:szCs w:val="24"/>
      </w:rPr>
    </w:lvl>
    <w:lvl w:ilvl="2">
      <w:numFmt w:val="bullet"/>
      <w:lvlText w:val="•"/>
      <w:lvlJc w:val="left"/>
      <w:pPr>
        <w:ind w:left="2380" w:hanging="722"/>
      </w:pPr>
    </w:lvl>
    <w:lvl w:ilvl="3">
      <w:numFmt w:val="bullet"/>
      <w:lvlText w:val="•"/>
      <w:lvlJc w:val="left"/>
      <w:pPr>
        <w:ind w:left="3151" w:hanging="722"/>
      </w:pPr>
    </w:lvl>
    <w:lvl w:ilvl="4">
      <w:numFmt w:val="bullet"/>
      <w:lvlText w:val="•"/>
      <w:lvlJc w:val="left"/>
      <w:pPr>
        <w:ind w:left="3921" w:hanging="722"/>
      </w:pPr>
    </w:lvl>
    <w:lvl w:ilvl="5">
      <w:numFmt w:val="bullet"/>
      <w:lvlText w:val="•"/>
      <w:lvlJc w:val="left"/>
      <w:pPr>
        <w:ind w:left="4692" w:hanging="722"/>
      </w:pPr>
    </w:lvl>
    <w:lvl w:ilvl="6">
      <w:numFmt w:val="bullet"/>
      <w:lvlText w:val="•"/>
      <w:lvlJc w:val="left"/>
      <w:pPr>
        <w:ind w:left="5462" w:hanging="722"/>
      </w:pPr>
    </w:lvl>
    <w:lvl w:ilvl="7">
      <w:numFmt w:val="bullet"/>
      <w:lvlText w:val="•"/>
      <w:lvlJc w:val="left"/>
      <w:pPr>
        <w:ind w:left="6233" w:hanging="722"/>
      </w:pPr>
    </w:lvl>
    <w:lvl w:ilvl="8">
      <w:numFmt w:val="bullet"/>
      <w:lvlText w:val="•"/>
      <w:lvlJc w:val="left"/>
      <w:pPr>
        <w:ind w:left="7003" w:hanging="722"/>
      </w:pPr>
    </w:lvl>
  </w:abstractNum>
  <w:abstractNum w:abstractNumId="4" w15:restartNumberingAfterBreak="0">
    <w:nsid w:val="00000406"/>
    <w:multiLevelType w:val="multilevel"/>
    <w:tmpl w:val="00000889"/>
    <w:lvl w:ilvl="0">
      <w:start w:val="1"/>
      <w:numFmt w:val="decimal"/>
      <w:lvlText w:val="%1."/>
      <w:lvlJc w:val="left"/>
      <w:pPr>
        <w:ind w:left="841" w:hanging="722"/>
      </w:pPr>
      <w:rPr>
        <w:rFonts w:ascii="Garamond" w:hAnsi="Garamond" w:cs="Garamond"/>
        <w:b w:val="0"/>
        <w:bCs w:val="0"/>
        <w:w w:val="98"/>
        <w:sz w:val="24"/>
        <w:szCs w:val="24"/>
      </w:rPr>
    </w:lvl>
    <w:lvl w:ilvl="1">
      <w:numFmt w:val="bullet"/>
      <w:lvlText w:val="•"/>
      <w:lvlJc w:val="left"/>
      <w:pPr>
        <w:ind w:left="1611" w:hanging="722"/>
      </w:pPr>
    </w:lvl>
    <w:lvl w:ilvl="2">
      <w:numFmt w:val="bullet"/>
      <w:lvlText w:val="•"/>
      <w:lvlJc w:val="left"/>
      <w:pPr>
        <w:ind w:left="2381" w:hanging="722"/>
      </w:pPr>
    </w:lvl>
    <w:lvl w:ilvl="3">
      <w:numFmt w:val="bullet"/>
      <w:lvlText w:val="•"/>
      <w:lvlJc w:val="left"/>
      <w:pPr>
        <w:ind w:left="3152" w:hanging="722"/>
      </w:pPr>
    </w:lvl>
    <w:lvl w:ilvl="4">
      <w:numFmt w:val="bullet"/>
      <w:lvlText w:val="•"/>
      <w:lvlJc w:val="left"/>
      <w:pPr>
        <w:ind w:left="3922" w:hanging="722"/>
      </w:pPr>
    </w:lvl>
    <w:lvl w:ilvl="5">
      <w:numFmt w:val="bullet"/>
      <w:lvlText w:val="•"/>
      <w:lvlJc w:val="left"/>
      <w:pPr>
        <w:ind w:left="4692" w:hanging="722"/>
      </w:pPr>
    </w:lvl>
    <w:lvl w:ilvl="6">
      <w:numFmt w:val="bullet"/>
      <w:lvlText w:val="•"/>
      <w:lvlJc w:val="left"/>
      <w:pPr>
        <w:ind w:left="5463" w:hanging="722"/>
      </w:pPr>
    </w:lvl>
    <w:lvl w:ilvl="7">
      <w:numFmt w:val="bullet"/>
      <w:lvlText w:val="•"/>
      <w:lvlJc w:val="left"/>
      <w:pPr>
        <w:ind w:left="6233" w:hanging="722"/>
      </w:pPr>
    </w:lvl>
    <w:lvl w:ilvl="8">
      <w:numFmt w:val="bullet"/>
      <w:lvlText w:val="•"/>
      <w:lvlJc w:val="left"/>
      <w:pPr>
        <w:ind w:left="7003" w:hanging="722"/>
      </w:pPr>
    </w:lvl>
  </w:abstractNum>
  <w:abstractNum w:abstractNumId="5" w15:restartNumberingAfterBreak="0">
    <w:nsid w:val="00000407"/>
    <w:multiLevelType w:val="multilevel"/>
    <w:tmpl w:val="0000088A"/>
    <w:lvl w:ilvl="0">
      <w:start w:val="1"/>
      <w:numFmt w:val="decimal"/>
      <w:lvlText w:val="%1."/>
      <w:lvlJc w:val="left"/>
      <w:pPr>
        <w:ind w:left="821" w:hanging="362"/>
      </w:pPr>
      <w:rPr>
        <w:rFonts w:ascii="Garamond" w:hAnsi="Garamond" w:cs="Garamond"/>
        <w:b w:val="0"/>
        <w:bCs w:val="0"/>
        <w:w w:val="98"/>
        <w:sz w:val="22"/>
        <w:szCs w:val="22"/>
      </w:rPr>
    </w:lvl>
    <w:lvl w:ilvl="1">
      <w:numFmt w:val="bullet"/>
      <w:lvlText w:val="•"/>
      <w:lvlJc w:val="left"/>
      <w:pPr>
        <w:ind w:left="1201" w:hanging="362"/>
      </w:pPr>
    </w:lvl>
    <w:lvl w:ilvl="2">
      <w:numFmt w:val="bullet"/>
      <w:lvlText w:val="•"/>
      <w:lvlJc w:val="left"/>
      <w:pPr>
        <w:ind w:left="1581" w:hanging="362"/>
      </w:pPr>
    </w:lvl>
    <w:lvl w:ilvl="3">
      <w:numFmt w:val="bullet"/>
      <w:lvlText w:val="•"/>
      <w:lvlJc w:val="left"/>
      <w:pPr>
        <w:ind w:left="1961" w:hanging="362"/>
      </w:pPr>
    </w:lvl>
    <w:lvl w:ilvl="4">
      <w:numFmt w:val="bullet"/>
      <w:lvlText w:val="•"/>
      <w:lvlJc w:val="left"/>
      <w:pPr>
        <w:ind w:left="2341" w:hanging="362"/>
      </w:pPr>
    </w:lvl>
    <w:lvl w:ilvl="5">
      <w:numFmt w:val="bullet"/>
      <w:lvlText w:val="•"/>
      <w:lvlJc w:val="left"/>
      <w:pPr>
        <w:ind w:left="2721" w:hanging="362"/>
      </w:pPr>
    </w:lvl>
    <w:lvl w:ilvl="6">
      <w:numFmt w:val="bullet"/>
      <w:lvlText w:val="•"/>
      <w:lvlJc w:val="left"/>
      <w:pPr>
        <w:ind w:left="3101" w:hanging="362"/>
      </w:pPr>
    </w:lvl>
    <w:lvl w:ilvl="7">
      <w:numFmt w:val="bullet"/>
      <w:lvlText w:val="•"/>
      <w:lvlJc w:val="left"/>
      <w:pPr>
        <w:ind w:left="3481" w:hanging="362"/>
      </w:pPr>
    </w:lvl>
    <w:lvl w:ilvl="8">
      <w:numFmt w:val="bullet"/>
      <w:lvlText w:val="•"/>
      <w:lvlJc w:val="left"/>
      <w:pPr>
        <w:ind w:left="3861" w:hanging="362"/>
      </w:pPr>
    </w:lvl>
  </w:abstractNum>
  <w:abstractNum w:abstractNumId="6" w15:restartNumberingAfterBreak="0">
    <w:nsid w:val="143B54AC"/>
    <w:multiLevelType w:val="hybridMultilevel"/>
    <w:tmpl w:val="042EA89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15517A65"/>
    <w:multiLevelType w:val="hybridMultilevel"/>
    <w:tmpl w:val="C3262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9C7724"/>
    <w:multiLevelType w:val="hybridMultilevel"/>
    <w:tmpl w:val="D31A19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57BA9"/>
    <w:multiLevelType w:val="multilevel"/>
    <w:tmpl w:val="D952DF06"/>
    <w:lvl w:ilvl="0">
      <w:start w:val="1"/>
      <w:numFmt w:val="decimal"/>
      <w:pStyle w:val="NumberedParagraph"/>
      <w:lvlText w:val="%1."/>
      <w:lvlJc w:val="left"/>
      <w:pPr>
        <w:tabs>
          <w:tab w:val="num" w:pos="709"/>
        </w:tabs>
        <w:ind w:left="709" w:hanging="709"/>
      </w:pPr>
      <w:rPr>
        <w:rFonts w:ascii="Arial" w:hAnsi="Arial" w:cs="Arial" w:hint="default"/>
        <w:b/>
        <w:i w:val="0"/>
        <w:caps/>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709"/>
        </w:tabs>
        <w:ind w:left="709" w:hanging="709"/>
      </w:pPr>
      <w:rPr>
        <w:rFonts w:ascii="Arial" w:hAnsi="Arial" w:cs="Arial" w:hint="default"/>
        <w:b w:val="0"/>
        <w:i w:val="0"/>
        <w:sz w:val="24"/>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23D8536F"/>
    <w:multiLevelType w:val="hybridMultilevel"/>
    <w:tmpl w:val="8EF6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70DED"/>
    <w:multiLevelType w:val="hybridMultilevel"/>
    <w:tmpl w:val="B99AC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D66316"/>
    <w:multiLevelType w:val="multilevel"/>
    <w:tmpl w:val="FACCEFE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06A4983"/>
    <w:multiLevelType w:val="multilevel"/>
    <w:tmpl w:val="C0A2BC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32A3208"/>
    <w:multiLevelType w:val="hybridMultilevel"/>
    <w:tmpl w:val="210413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611CF"/>
    <w:multiLevelType w:val="hybridMultilevel"/>
    <w:tmpl w:val="7D7095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1E3465"/>
    <w:multiLevelType w:val="multilevel"/>
    <w:tmpl w:val="8DA457DC"/>
    <w:lvl w:ilvl="0">
      <w:start w:val="4"/>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7" w15:restartNumberingAfterBreak="0">
    <w:nsid w:val="5D4C71FA"/>
    <w:multiLevelType w:val="multilevel"/>
    <w:tmpl w:val="8548BE4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2756426"/>
    <w:multiLevelType w:val="multilevel"/>
    <w:tmpl w:val="A9D82E3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EA7E8D"/>
    <w:multiLevelType w:val="multilevel"/>
    <w:tmpl w:val="760413D8"/>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0" w15:restartNumberingAfterBreak="0">
    <w:nsid w:val="675D3929"/>
    <w:multiLevelType w:val="hybridMultilevel"/>
    <w:tmpl w:val="F59631F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1" w15:restartNumberingAfterBreak="0">
    <w:nsid w:val="68E27961"/>
    <w:multiLevelType w:val="hybridMultilevel"/>
    <w:tmpl w:val="076E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2603D"/>
    <w:multiLevelType w:val="multilevel"/>
    <w:tmpl w:val="91446F2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9B3B5D"/>
    <w:multiLevelType w:val="hybridMultilevel"/>
    <w:tmpl w:val="5728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F00C19"/>
    <w:multiLevelType w:val="multilevel"/>
    <w:tmpl w:val="7C9615B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C74548"/>
    <w:multiLevelType w:val="multilevel"/>
    <w:tmpl w:val="2E20085E"/>
    <w:lvl w:ilvl="0">
      <w:start w:val="4"/>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6" w15:restartNumberingAfterBreak="0">
    <w:nsid w:val="7588314F"/>
    <w:multiLevelType w:val="hybridMultilevel"/>
    <w:tmpl w:val="A4664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9254503"/>
    <w:multiLevelType w:val="hybridMultilevel"/>
    <w:tmpl w:val="749C0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10533750">
    <w:abstractNumId w:val="17"/>
  </w:num>
  <w:num w:numId="2" w16cid:durableId="1717241699">
    <w:abstractNumId w:val="11"/>
  </w:num>
  <w:num w:numId="3" w16cid:durableId="31156998">
    <w:abstractNumId w:val="2"/>
  </w:num>
  <w:num w:numId="4" w16cid:durableId="27874027">
    <w:abstractNumId w:val="1"/>
  </w:num>
  <w:num w:numId="5" w16cid:durableId="1232233912">
    <w:abstractNumId w:val="0"/>
  </w:num>
  <w:num w:numId="6" w16cid:durableId="596250791">
    <w:abstractNumId w:val="5"/>
  </w:num>
  <w:num w:numId="7" w16cid:durableId="2040544618">
    <w:abstractNumId w:val="4"/>
  </w:num>
  <w:num w:numId="8" w16cid:durableId="1221594609">
    <w:abstractNumId w:val="3"/>
  </w:num>
  <w:num w:numId="9" w16cid:durableId="48308000">
    <w:abstractNumId w:val="15"/>
  </w:num>
  <w:num w:numId="10" w16cid:durableId="1317340682">
    <w:abstractNumId w:val="8"/>
  </w:num>
  <w:num w:numId="11" w16cid:durableId="1460757323">
    <w:abstractNumId w:val="14"/>
  </w:num>
  <w:num w:numId="12" w16cid:durableId="1900093576">
    <w:abstractNumId w:val="12"/>
  </w:num>
  <w:num w:numId="13" w16cid:durableId="806970914">
    <w:abstractNumId w:val="13"/>
  </w:num>
  <w:num w:numId="14" w16cid:durableId="1932930050">
    <w:abstractNumId w:val="10"/>
  </w:num>
  <w:num w:numId="15" w16cid:durableId="287006532">
    <w:abstractNumId w:val="21"/>
  </w:num>
  <w:num w:numId="16" w16cid:durableId="2061249491">
    <w:abstractNumId w:val="20"/>
  </w:num>
  <w:num w:numId="17" w16cid:durableId="1785465134">
    <w:abstractNumId w:val="6"/>
  </w:num>
  <w:num w:numId="18" w16cid:durableId="1641615906">
    <w:abstractNumId w:val="23"/>
  </w:num>
  <w:num w:numId="19" w16cid:durableId="1162696492">
    <w:abstractNumId w:val="7"/>
    <w:lvlOverride w:ilvl="0"/>
    <w:lvlOverride w:ilvl="1"/>
    <w:lvlOverride w:ilvl="2"/>
    <w:lvlOverride w:ilvl="3"/>
    <w:lvlOverride w:ilvl="4"/>
    <w:lvlOverride w:ilvl="5"/>
    <w:lvlOverride w:ilvl="6"/>
    <w:lvlOverride w:ilvl="7"/>
    <w:lvlOverride w:ilvl="8"/>
  </w:num>
  <w:num w:numId="20" w16cid:durableId="229275440">
    <w:abstractNumId w:val="27"/>
  </w:num>
  <w:num w:numId="21" w16cid:durableId="938680452">
    <w:abstractNumId w:val="26"/>
  </w:num>
  <w:num w:numId="22" w16cid:durableId="350961874">
    <w:abstractNumId w:val="16"/>
  </w:num>
  <w:num w:numId="23" w16cid:durableId="161819618">
    <w:abstractNumId w:val="25"/>
  </w:num>
  <w:num w:numId="24" w16cid:durableId="981811720">
    <w:abstractNumId w:val="19"/>
  </w:num>
  <w:num w:numId="25" w16cid:durableId="1973976826">
    <w:abstractNumId w:val="18"/>
  </w:num>
  <w:num w:numId="26" w16cid:durableId="62875584">
    <w:abstractNumId w:val="22"/>
  </w:num>
  <w:num w:numId="27" w16cid:durableId="2063165414">
    <w:abstractNumId w:val="9"/>
  </w:num>
  <w:num w:numId="28" w16cid:durableId="10609848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98"/>
    <w:rsid w:val="00035C18"/>
    <w:rsid w:val="0006754C"/>
    <w:rsid w:val="00070F00"/>
    <w:rsid w:val="000735EA"/>
    <w:rsid w:val="0009038B"/>
    <w:rsid w:val="00094427"/>
    <w:rsid w:val="000A5B2B"/>
    <w:rsid w:val="000C57B6"/>
    <w:rsid w:val="000E5D1E"/>
    <w:rsid w:val="000F2ECA"/>
    <w:rsid w:val="000F5593"/>
    <w:rsid w:val="000F5B56"/>
    <w:rsid w:val="000F625E"/>
    <w:rsid w:val="001011C7"/>
    <w:rsid w:val="0010279E"/>
    <w:rsid w:val="0010511E"/>
    <w:rsid w:val="001142A8"/>
    <w:rsid w:val="00143C86"/>
    <w:rsid w:val="00154D2D"/>
    <w:rsid w:val="00170C64"/>
    <w:rsid w:val="00187DBF"/>
    <w:rsid w:val="00193D27"/>
    <w:rsid w:val="001A78AB"/>
    <w:rsid w:val="001C04D6"/>
    <w:rsid w:val="001C607B"/>
    <w:rsid w:val="001E61EB"/>
    <w:rsid w:val="0020363A"/>
    <w:rsid w:val="00212250"/>
    <w:rsid w:val="0022466D"/>
    <w:rsid w:val="00242569"/>
    <w:rsid w:val="0027213A"/>
    <w:rsid w:val="00272EFF"/>
    <w:rsid w:val="00281410"/>
    <w:rsid w:val="00285233"/>
    <w:rsid w:val="00293517"/>
    <w:rsid w:val="002A18AA"/>
    <w:rsid w:val="002A3EB4"/>
    <w:rsid w:val="0034004A"/>
    <w:rsid w:val="003847E2"/>
    <w:rsid w:val="003B4605"/>
    <w:rsid w:val="003D6214"/>
    <w:rsid w:val="003E2496"/>
    <w:rsid w:val="003E32A4"/>
    <w:rsid w:val="003E51E4"/>
    <w:rsid w:val="003E747B"/>
    <w:rsid w:val="00400592"/>
    <w:rsid w:val="00405198"/>
    <w:rsid w:val="00421A0C"/>
    <w:rsid w:val="004500FB"/>
    <w:rsid w:val="00455CF9"/>
    <w:rsid w:val="00460F50"/>
    <w:rsid w:val="00467800"/>
    <w:rsid w:val="004A0AAD"/>
    <w:rsid w:val="004A7A17"/>
    <w:rsid w:val="004E1D5F"/>
    <w:rsid w:val="004E3188"/>
    <w:rsid w:val="00500F13"/>
    <w:rsid w:val="00505FE8"/>
    <w:rsid w:val="00534ED2"/>
    <w:rsid w:val="0053616C"/>
    <w:rsid w:val="0053716D"/>
    <w:rsid w:val="00550D0B"/>
    <w:rsid w:val="00553710"/>
    <w:rsid w:val="005614A3"/>
    <w:rsid w:val="00577107"/>
    <w:rsid w:val="00577842"/>
    <w:rsid w:val="00596B98"/>
    <w:rsid w:val="005A50E0"/>
    <w:rsid w:val="005A7ED7"/>
    <w:rsid w:val="005D1C5D"/>
    <w:rsid w:val="005D1CE4"/>
    <w:rsid w:val="005E6940"/>
    <w:rsid w:val="00614A39"/>
    <w:rsid w:val="006461D6"/>
    <w:rsid w:val="0066069A"/>
    <w:rsid w:val="0066562F"/>
    <w:rsid w:val="00674814"/>
    <w:rsid w:val="006972AE"/>
    <w:rsid w:val="006A2B83"/>
    <w:rsid w:val="006A7C66"/>
    <w:rsid w:val="006C5F4C"/>
    <w:rsid w:val="00710767"/>
    <w:rsid w:val="00732029"/>
    <w:rsid w:val="00751080"/>
    <w:rsid w:val="00752527"/>
    <w:rsid w:val="0078357F"/>
    <w:rsid w:val="00790CAB"/>
    <w:rsid w:val="007A1126"/>
    <w:rsid w:val="007A4E44"/>
    <w:rsid w:val="007B2AAC"/>
    <w:rsid w:val="007C6A9A"/>
    <w:rsid w:val="007D2DB4"/>
    <w:rsid w:val="007D3977"/>
    <w:rsid w:val="00830F7D"/>
    <w:rsid w:val="00845800"/>
    <w:rsid w:val="008632AC"/>
    <w:rsid w:val="008E6BC5"/>
    <w:rsid w:val="008F153B"/>
    <w:rsid w:val="008F32BA"/>
    <w:rsid w:val="009012FC"/>
    <w:rsid w:val="009037C3"/>
    <w:rsid w:val="00903D1C"/>
    <w:rsid w:val="00914DAA"/>
    <w:rsid w:val="009375DE"/>
    <w:rsid w:val="00942535"/>
    <w:rsid w:val="00962BC6"/>
    <w:rsid w:val="00964A3E"/>
    <w:rsid w:val="0097529F"/>
    <w:rsid w:val="00975C43"/>
    <w:rsid w:val="009A4EF9"/>
    <w:rsid w:val="009C3A5B"/>
    <w:rsid w:val="009E1BB2"/>
    <w:rsid w:val="009E5582"/>
    <w:rsid w:val="00A23947"/>
    <w:rsid w:val="00A334F0"/>
    <w:rsid w:val="00AD1966"/>
    <w:rsid w:val="00AD3C5C"/>
    <w:rsid w:val="00AD6FF9"/>
    <w:rsid w:val="00B024F7"/>
    <w:rsid w:val="00B12921"/>
    <w:rsid w:val="00B12C56"/>
    <w:rsid w:val="00B3070F"/>
    <w:rsid w:val="00B37D79"/>
    <w:rsid w:val="00B432C7"/>
    <w:rsid w:val="00B4407B"/>
    <w:rsid w:val="00B4450E"/>
    <w:rsid w:val="00B55F1E"/>
    <w:rsid w:val="00B7225B"/>
    <w:rsid w:val="00B8149A"/>
    <w:rsid w:val="00B87977"/>
    <w:rsid w:val="00BB175B"/>
    <w:rsid w:val="00BB2BB6"/>
    <w:rsid w:val="00BC61B0"/>
    <w:rsid w:val="00BF48DF"/>
    <w:rsid w:val="00C15E4A"/>
    <w:rsid w:val="00C62BCB"/>
    <w:rsid w:val="00C8156C"/>
    <w:rsid w:val="00CA647F"/>
    <w:rsid w:val="00CE6C58"/>
    <w:rsid w:val="00CF489D"/>
    <w:rsid w:val="00D3670C"/>
    <w:rsid w:val="00D513DB"/>
    <w:rsid w:val="00D52E33"/>
    <w:rsid w:val="00D67646"/>
    <w:rsid w:val="00D87185"/>
    <w:rsid w:val="00D87B92"/>
    <w:rsid w:val="00D96653"/>
    <w:rsid w:val="00DB437F"/>
    <w:rsid w:val="00DB5A19"/>
    <w:rsid w:val="00DB5AE1"/>
    <w:rsid w:val="00DE66DD"/>
    <w:rsid w:val="00DF0D02"/>
    <w:rsid w:val="00E0378C"/>
    <w:rsid w:val="00E32DE0"/>
    <w:rsid w:val="00E36754"/>
    <w:rsid w:val="00E52E22"/>
    <w:rsid w:val="00E639FB"/>
    <w:rsid w:val="00E65B7C"/>
    <w:rsid w:val="00E80A95"/>
    <w:rsid w:val="00E873B7"/>
    <w:rsid w:val="00EA3C7F"/>
    <w:rsid w:val="00ED3064"/>
    <w:rsid w:val="00ED5AC2"/>
    <w:rsid w:val="00EE0787"/>
    <w:rsid w:val="00EF1F84"/>
    <w:rsid w:val="00EF215F"/>
    <w:rsid w:val="00EF4B3E"/>
    <w:rsid w:val="00F13241"/>
    <w:rsid w:val="00F145A1"/>
    <w:rsid w:val="00F1649D"/>
    <w:rsid w:val="00F23EC2"/>
    <w:rsid w:val="00F30D12"/>
    <w:rsid w:val="00F36CC8"/>
    <w:rsid w:val="00F461C2"/>
    <w:rsid w:val="00F65C68"/>
    <w:rsid w:val="00FB4199"/>
    <w:rsid w:val="00FD0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CC1512"/>
  <w15:chartTrackingRefBased/>
  <w15:docId w15:val="{18E05F37-D681-4A7F-95D2-BB11443F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D6FF9"/>
    <w:pPr>
      <w:widowControl w:val="0"/>
      <w:autoSpaceDE w:val="0"/>
      <w:autoSpaceDN w:val="0"/>
      <w:adjustRightInd w:val="0"/>
      <w:spacing w:before="69"/>
      <w:ind w:left="220"/>
      <w:outlineLvl w:val="0"/>
    </w:pPr>
    <w:rPr>
      <w:rFonts w:ascii="Arial" w:hAnsi="Arial" w:cs="Arial"/>
      <w:b/>
      <w:bCs/>
    </w:rPr>
  </w:style>
  <w:style w:type="paragraph" w:styleId="Heading2">
    <w:name w:val="heading 2"/>
    <w:basedOn w:val="Normal"/>
    <w:next w:val="Normal"/>
    <w:qFormat/>
    <w:rsid w:val="007A4E4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rsid w:val="00154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363A"/>
    <w:pPr>
      <w:autoSpaceDE w:val="0"/>
      <w:autoSpaceDN w:val="0"/>
      <w:adjustRightInd w:val="0"/>
    </w:pPr>
    <w:rPr>
      <w:rFonts w:ascii="Arial" w:hAnsi="Arial" w:cs="Arial"/>
      <w:color w:val="000000"/>
      <w:sz w:val="24"/>
      <w:szCs w:val="24"/>
    </w:rPr>
  </w:style>
  <w:style w:type="paragraph" w:styleId="BodyText">
    <w:name w:val="Body Text"/>
    <w:basedOn w:val="Normal"/>
    <w:rsid w:val="00AD6FF9"/>
    <w:pPr>
      <w:widowControl w:val="0"/>
      <w:autoSpaceDE w:val="0"/>
      <w:autoSpaceDN w:val="0"/>
      <w:adjustRightInd w:val="0"/>
      <w:ind w:left="459" w:hanging="360"/>
    </w:pPr>
    <w:rPr>
      <w:rFonts w:ascii="Arial" w:hAnsi="Arial" w:cs="Arial"/>
      <w:sz w:val="20"/>
      <w:szCs w:val="20"/>
    </w:rPr>
  </w:style>
  <w:style w:type="paragraph" w:styleId="ListParagraph">
    <w:name w:val="List Paragraph"/>
    <w:basedOn w:val="Normal"/>
    <w:uiPriority w:val="99"/>
    <w:qFormat/>
    <w:rsid w:val="00AD6FF9"/>
    <w:pPr>
      <w:widowControl w:val="0"/>
      <w:autoSpaceDE w:val="0"/>
      <w:autoSpaceDN w:val="0"/>
      <w:adjustRightInd w:val="0"/>
    </w:pPr>
  </w:style>
  <w:style w:type="paragraph" w:customStyle="1" w:styleId="TableParagraph">
    <w:name w:val="Table Paragraph"/>
    <w:basedOn w:val="Normal"/>
    <w:uiPriority w:val="1"/>
    <w:qFormat/>
    <w:rsid w:val="00AD6FF9"/>
    <w:pPr>
      <w:widowControl w:val="0"/>
      <w:autoSpaceDE w:val="0"/>
      <w:autoSpaceDN w:val="0"/>
      <w:adjustRightInd w:val="0"/>
    </w:pPr>
  </w:style>
  <w:style w:type="character" w:styleId="Hyperlink">
    <w:name w:val="Hyperlink"/>
    <w:uiPriority w:val="99"/>
    <w:rsid w:val="007A4E44"/>
    <w:rPr>
      <w:color w:val="0000FF"/>
      <w:u w:val="single"/>
    </w:rPr>
  </w:style>
  <w:style w:type="paragraph" w:styleId="NormalWeb">
    <w:name w:val="Normal (Web)"/>
    <w:basedOn w:val="Normal"/>
    <w:uiPriority w:val="99"/>
    <w:rsid w:val="007A4E44"/>
    <w:pPr>
      <w:spacing w:before="100" w:beforeAutospacing="1" w:after="100" w:afterAutospacing="1"/>
    </w:pPr>
  </w:style>
  <w:style w:type="character" w:customStyle="1" w:styleId="A5">
    <w:name w:val="A5"/>
    <w:uiPriority w:val="99"/>
    <w:rsid w:val="007B2AAC"/>
    <w:rPr>
      <w:rFonts w:cs="FUNISO+ArialMT"/>
      <w:color w:val="000000"/>
      <w:sz w:val="20"/>
      <w:szCs w:val="20"/>
    </w:rPr>
  </w:style>
  <w:style w:type="paragraph" w:styleId="BalloonText">
    <w:name w:val="Balloon Text"/>
    <w:basedOn w:val="Normal"/>
    <w:link w:val="BalloonTextChar"/>
    <w:rsid w:val="00FD0571"/>
    <w:rPr>
      <w:rFonts w:ascii="Segoe UI" w:hAnsi="Segoe UI" w:cs="Segoe UI"/>
      <w:sz w:val="18"/>
      <w:szCs w:val="18"/>
    </w:rPr>
  </w:style>
  <w:style w:type="character" w:customStyle="1" w:styleId="BalloonTextChar">
    <w:name w:val="Balloon Text Char"/>
    <w:link w:val="BalloonText"/>
    <w:rsid w:val="00FD0571"/>
    <w:rPr>
      <w:rFonts w:ascii="Segoe UI" w:hAnsi="Segoe UI" w:cs="Segoe UI"/>
      <w:sz w:val="18"/>
      <w:szCs w:val="18"/>
    </w:rPr>
  </w:style>
  <w:style w:type="character" w:styleId="CommentReference">
    <w:name w:val="annotation reference"/>
    <w:rsid w:val="00F145A1"/>
    <w:rPr>
      <w:sz w:val="16"/>
      <w:szCs w:val="16"/>
    </w:rPr>
  </w:style>
  <w:style w:type="paragraph" w:styleId="CommentText">
    <w:name w:val="annotation text"/>
    <w:basedOn w:val="Normal"/>
    <w:link w:val="CommentTextChar"/>
    <w:uiPriority w:val="99"/>
    <w:rsid w:val="00F145A1"/>
    <w:rPr>
      <w:sz w:val="20"/>
      <w:szCs w:val="20"/>
    </w:rPr>
  </w:style>
  <w:style w:type="character" w:customStyle="1" w:styleId="CommentTextChar">
    <w:name w:val="Comment Text Char"/>
    <w:basedOn w:val="DefaultParagraphFont"/>
    <w:link w:val="CommentText"/>
    <w:uiPriority w:val="99"/>
    <w:rsid w:val="00F145A1"/>
  </w:style>
  <w:style w:type="paragraph" w:styleId="CommentSubject">
    <w:name w:val="annotation subject"/>
    <w:basedOn w:val="CommentText"/>
    <w:next w:val="CommentText"/>
    <w:link w:val="CommentSubjectChar"/>
    <w:rsid w:val="00F145A1"/>
    <w:rPr>
      <w:b/>
      <w:bCs/>
    </w:rPr>
  </w:style>
  <w:style w:type="character" w:customStyle="1" w:styleId="CommentSubjectChar">
    <w:name w:val="Comment Subject Char"/>
    <w:link w:val="CommentSubject"/>
    <w:rsid w:val="00F145A1"/>
    <w:rPr>
      <w:b/>
      <w:bCs/>
    </w:rPr>
  </w:style>
  <w:style w:type="paragraph" w:styleId="Revision">
    <w:name w:val="Revision"/>
    <w:hidden/>
    <w:uiPriority w:val="99"/>
    <w:semiHidden/>
    <w:rsid w:val="002A18AA"/>
    <w:rPr>
      <w:sz w:val="24"/>
      <w:szCs w:val="24"/>
    </w:rPr>
  </w:style>
  <w:style w:type="character" w:customStyle="1" w:styleId="gmaildefault">
    <w:name w:val="gmail_default"/>
    <w:rsid w:val="009037C3"/>
  </w:style>
  <w:style w:type="character" w:customStyle="1" w:styleId="A3">
    <w:name w:val="A3"/>
    <w:uiPriority w:val="99"/>
    <w:rsid w:val="009037C3"/>
    <w:rPr>
      <w:b/>
      <w:bCs/>
      <w:color w:val="000000"/>
      <w:sz w:val="18"/>
      <w:szCs w:val="18"/>
    </w:rPr>
  </w:style>
  <w:style w:type="character" w:styleId="FootnoteReference">
    <w:name w:val="footnote reference"/>
    <w:uiPriority w:val="99"/>
    <w:unhideWhenUsed/>
    <w:rsid w:val="009037C3"/>
    <w:rPr>
      <w:vertAlign w:val="superscript"/>
    </w:rPr>
  </w:style>
  <w:style w:type="paragraph" w:styleId="FootnoteText">
    <w:name w:val="footnote text"/>
    <w:basedOn w:val="Normal"/>
    <w:link w:val="FootnoteTextChar"/>
    <w:uiPriority w:val="99"/>
    <w:unhideWhenUsed/>
    <w:rsid w:val="009037C3"/>
    <w:rPr>
      <w:rFonts w:ascii="Gill Sans" w:hAnsi="Gill Sans"/>
      <w:lang w:eastAsia="en-US"/>
    </w:rPr>
  </w:style>
  <w:style w:type="character" w:customStyle="1" w:styleId="FootnoteTextChar">
    <w:name w:val="Footnote Text Char"/>
    <w:link w:val="FootnoteText"/>
    <w:uiPriority w:val="99"/>
    <w:rsid w:val="009037C3"/>
    <w:rPr>
      <w:rFonts w:ascii="Gill Sans" w:hAnsi="Gill Sans"/>
      <w:sz w:val="24"/>
      <w:szCs w:val="24"/>
      <w:lang w:eastAsia="en-US"/>
    </w:rPr>
  </w:style>
  <w:style w:type="paragraph" w:customStyle="1" w:styleId="StyleStyleNumberedParagraphBoldNotBold">
    <w:name w:val="Style Style Numbered Paragraph + Bold + Not Bold"/>
    <w:basedOn w:val="Normal"/>
    <w:rsid w:val="00F1649D"/>
    <w:pPr>
      <w:tabs>
        <w:tab w:val="num" w:pos="709"/>
      </w:tabs>
      <w:ind w:left="709" w:hanging="709"/>
    </w:pPr>
    <w:rPr>
      <w:rFonts w:ascii="Calibri" w:eastAsia="Calibri" w:hAnsi="Calibri"/>
      <w:sz w:val="22"/>
      <w:szCs w:val="22"/>
      <w:lang w:eastAsia="en-US"/>
    </w:rPr>
  </w:style>
  <w:style w:type="paragraph" w:customStyle="1" w:styleId="NumberedParagraph">
    <w:name w:val="Numbered Paragraph"/>
    <w:basedOn w:val="Normal"/>
    <w:rsid w:val="00143C86"/>
    <w:pPr>
      <w:numPr>
        <w:numId w:val="27"/>
      </w:numPr>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80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odlandtrust.org.uk/publications/2019/07/planners-manual-for-ancient-woodland-and-veteran-trees-scotlan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lkirk.gov.uk/services/planning-building/planning-policy/supplementary-guidance/docs/draft-supplementary-guidance/SG06%20Affordable%20Housing.pdf?v=202010151119" TargetMode="External"/><Relationship Id="rId17" Type="http://schemas.openxmlformats.org/officeDocument/2006/relationships/hyperlink" Target="https://www.woodlandtrust.org.uk/publications/2020/01/emergency-tree-plan/" TargetMode="External"/><Relationship Id="rId2" Type="http://schemas.openxmlformats.org/officeDocument/2006/relationships/customXml" Target="../customXml/item2.xml"/><Relationship Id="rId16" Type="http://schemas.openxmlformats.org/officeDocument/2006/relationships/hyperlink" Target="https://www.woodlandtrust.org.uk/media/1688/residential-developments-and-tre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lkirk.gov.uk/services/planning-building/planning-policy/supplementary-guidance/docs/draft-supplementary-guidance/SG01%20Development%20in%20the%20Countryside.pdf?v=202011171056" TargetMode="External"/><Relationship Id="rId5" Type="http://schemas.openxmlformats.org/officeDocument/2006/relationships/numbering" Target="numbering.xml"/><Relationship Id="rId15" Type="http://schemas.openxmlformats.org/officeDocument/2006/relationships/hyperlink" Target="https://www.woodlandtrust.org.uk/publications/2019/07/planners-manual-for-ancient-woodland-and-veteran-trees-scotlan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tishcampaigns@woodland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1" ma:contentTypeDescription="Create a new document." ma:contentTypeScope="" ma:versionID="24895020bac4ede6e502a62265a7e5a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f48db82b73ec11164177cebb24aa1b1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 xmlns="fc78463e-d5b0-4fd8-abb1-e1eb3572d92c" xsi:nil="true"/>
  </documentManagement>
</p:properties>
</file>

<file path=customXml/itemProps1.xml><?xml version="1.0" encoding="utf-8"?>
<ds:datastoreItem xmlns:ds="http://schemas.openxmlformats.org/officeDocument/2006/customXml" ds:itemID="{A80C2604-C4B5-4E84-9557-7F5B95A21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E20A8-8C6E-459D-A580-D8FC68720655}">
  <ds:schemaRefs>
    <ds:schemaRef ds:uri="http://schemas.microsoft.com/sharepoint/v3/contenttype/forms"/>
  </ds:schemaRefs>
</ds:datastoreItem>
</file>

<file path=customXml/itemProps3.xml><?xml version="1.0" encoding="utf-8"?>
<ds:datastoreItem xmlns:ds="http://schemas.openxmlformats.org/officeDocument/2006/customXml" ds:itemID="{960F42D8-2916-48C7-A7CD-975F43680379}">
  <ds:schemaRefs>
    <ds:schemaRef ds:uri="http://schemas.openxmlformats.org/officeDocument/2006/bibliography"/>
  </ds:schemaRefs>
</ds:datastoreItem>
</file>

<file path=customXml/itemProps4.xml><?xml version="1.0" encoding="utf-8"?>
<ds:datastoreItem xmlns:ds="http://schemas.openxmlformats.org/officeDocument/2006/customXml" ds:itemID="{7E94DA9F-BE10-4AE6-84FB-383E4BBE9C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9440</Words>
  <Characters>54139</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Statement of Publicity and Consultation on Supplementary Planning (SG) notes</vt:lpstr>
    </vt:vector>
  </TitlesOfParts>
  <Company>Falkirk Council</Company>
  <LinksUpToDate>false</LinksUpToDate>
  <CharactersWithSpaces>63453</CharactersWithSpaces>
  <SharedDoc>false</SharedDoc>
  <HLinks>
    <vt:vector size="42" baseType="variant">
      <vt:variant>
        <vt:i4>7209023</vt:i4>
      </vt:variant>
      <vt:variant>
        <vt:i4>18</vt:i4>
      </vt:variant>
      <vt:variant>
        <vt:i4>0</vt:i4>
      </vt:variant>
      <vt:variant>
        <vt:i4>5</vt:i4>
      </vt:variant>
      <vt:variant>
        <vt:lpwstr>https://www.woodlandtrust.org.uk/publications/2020/01/emergency-tree-plan/</vt:lpwstr>
      </vt:variant>
      <vt:variant>
        <vt:lpwstr/>
      </vt:variant>
      <vt:variant>
        <vt:i4>3080306</vt:i4>
      </vt:variant>
      <vt:variant>
        <vt:i4>15</vt:i4>
      </vt:variant>
      <vt:variant>
        <vt:i4>0</vt:i4>
      </vt:variant>
      <vt:variant>
        <vt:i4>5</vt:i4>
      </vt:variant>
      <vt:variant>
        <vt:lpwstr>https://www.woodlandtrust.org.uk/media/1688/residential-developments-and-trees.pdf</vt:lpwstr>
      </vt:variant>
      <vt:variant>
        <vt:lpwstr/>
      </vt:variant>
      <vt:variant>
        <vt:i4>6357051</vt:i4>
      </vt:variant>
      <vt:variant>
        <vt:i4>12</vt:i4>
      </vt:variant>
      <vt:variant>
        <vt:i4>0</vt:i4>
      </vt:variant>
      <vt:variant>
        <vt:i4>5</vt:i4>
      </vt:variant>
      <vt:variant>
        <vt:lpwstr>https://www.woodlandtrust.org.uk/publications/2019/07/planners-manual-for-ancient-woodland-and-veteran-trees-scotland/</vt:lpwstr>
      </vt:variant>
      <vt:variant>
        <vt:lpwstr/>
      </vt:variant>
      <vt:variant>
        <vt:i4>1048695</vt:i4>
      </vt:variant>
      <vt:variant>
        <vt:i4>9</vt:i4>
      </vt:variant>
      <vt:variant>
        <vt:i4>0</vt:i4>
      </vt:variant>
      <vt:variant>
        <vt:i4>5</vt:i4>
      </vt:variant>
      <vt:variant>
        <vt:lpwstr>mailto:scottishcampaigns@woodlandtrust.org.uk</vt:lpwstr>
      </vt:variant>
      <vt:variant>
        <vt:lpwstr/>
      </vt:variant>
      <vt:variant>
        <vt:i4>6357051</vt:i4>
      </vt:variant>
      <vt:variant>
        <vt:i4>6</vt:i4>
      </vt:variant>
      <vt:variant>
        <vt:i4>0</vt:i4>
      </vt:variant>
      <vt:variant>
        <vt:i4>5</vt:i4>
      </vt:variant>
      <vt:variant>
        <vt:lpwstr>https://www.woodlandtrust.org.uk/publications/2019/07/planners-manual-for-ancient-woodland-and-veteran-trees-scotland/</vt:lpwstr>
      </vt:variant>
      <vt:variant>
        <vt:lpwstr/>
      </vt:variant>
      <vt:variant>
        <vt:i4>196610</vt:i4>
      </vt:variant>
      <vt:variant>
        <vt:i4>3</vt:i4>
      </vt:variant>
      <vt:variant>
        <vt:i4>0</vt:i4>
      </vt:variant>
      <vt:variant>
        <vt:i4>5</vt:i4>
      </vt:variant>
      <vt:variant>
        <vt:lpwstr>https://www.falkirk.gov.uk/services/planning-building/planning-policy/supplementary-guidance/docs/draft-supplementary-guidance/SG06 Affordable Housing.pdf?v=202010151119</vt:lpwstr>
      </vt:variant>
      <vt:variant>
        <vt:lpwstr/>
      </vt:variant>
      <vt:variant>
        <vt:i4>5898327</vt:i4>
      </vt:variant>
      <vt:variant>
        <vt:i4>0</vt:i4>
      </vt:variant>
      <vt:variant>
        <vt:i4>0</vt:i4>
      </vt:variant>
      <vt:variant>
        <vt:i4>5</vt:i4>
      </vt:variant>
      <vt:variant>
        <vt:lpwstr>https://www.falkirk.gov.uk/services/planning-building/planning-policy/supplementary-guidance/docs/draft-supplementary-guidance/SG01 Development in the Countryside.pdf?v=202011171056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Publicity and Consultation on Supplementary Planning (SG) notes</dc:title>
  <dc:subject/>
  <dc:creator>Administrator</dc:creator>
  <cp:keywords/>
  <dc:description/>
  <cp:lastModifiedBy>Jonathon Dickson</cp:lastModifiedBy>
  <cp:revision>2</cp:revision>
  <cp:lastPrinted>2015-11-03T09:55:00Z</cp:lastPrinted>
  <dcterms:created xsi:type="dcterms:W3CDTF">2024-11-13T15:26:00Z</dcterms:created>
  <dcterms:modified xsi:type="dcterms:W3CDTF">2024-11-13T15:26:00Z</dcterms:modified>
</cp:coreProperties>
</file>